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C99BF" w14:textId="5E939282" w:rsidR="004D395E" w:rsidRPr="0097457B" w:rsidRDefault="009E71D5" w:rsidP="008C19DE">
      <w:pPr>
        <w:pStyle w:val="SeminarAnnouncement"/>
        <w:tabs>
          <w:tab w:val="left" w:pos="3675"/>
          <w:tab w:val="center" w:pos="5400"/>
        </w:tabs>
        <w:jc w:val="left"/>
        <w:rPr>
          <w:rFonts w:ascii="Trajan Pro" w:hAnsi="Trajan Pro"/>
          <w:color w:val="000000" w:themeColor="text1"/>
          <w:sz w:val="28"/>
          <w:szCs w:val="28"/>
        </w:rPr>
      </w:pPr>
      <w:bookmarkStart w:id="0" w:name="_GoBack"/>
      <w:bookmarkEnd w:id="0"/>
      <w:r>
        <w:rPr>
          <w:rFonts w:ascii="Trajan Pro" w:hAnsi="Trajan Pro"/>
          <w:color w:val="000000" w:themeColor="text1"/>
          <w:sz w:val="28"/>
          <w:szCs w:val="28"/>
        </w:rPr>
        <w:tab/>
      </w:r>
      <w:r w:rsidR="005C20EA" w:rsidRPr="0097457B">
        <w:rPr>
          <w:rFonts w:ascii="Trajan Pro" w:hAnsi="Trajan Pro"/>
          <w:color w:val="000000" w:themeColor="text1"/>
          <w:sz w:val="28"/>
          <w:szCs w:val="28"/>
        </w:rPr>
        <w:t>SEMINAR ANNO</w:t>
      </w:r>
      <w:r w:rsidR="004D395E" w:rsidRPr="0097457B">
        <w:rPr>
          <w:rFonts w:ascii="Trajan Pro" w:hAnsi="Trajan Pro"/>
          <w:color w:val="000000" w:themeColor="text1"/>
          <w:sz w:val="28"/>
          <w:szCs w:val="28"/>
        </w:rPr>
        <w:t>UNCEMENT</w:t>
      </w:r>
    </w:p>
    <w:p w14:paraId="05231FB0" w14:textId="77777777" w:rsidR="004D395E" w:rsidRPr="00803755" w:rsidRDefault="00C652CD" w:rsidP="00E4363E">
      <w:pPr>
        <w:pStyle w:val="SeminarAnnouncement"/>
        <w:rPr>
          <w:rFonts w:ascii="Trajan Pro" w:hAnsi="Trajan Pro"/>
          <w:color w:val="000000" w:themeColor="text1"/>
        </w:rPr>
      </w:pPr>
      <w:r w:rsidRPr="00803755">
        <w:rPr>
          <w:rFonts w:ascii="Trajan Pro" w:hAnsi="Trajan Pro"/>
          <w:color w:val="000000" w:themeColor="text1"/>
        </w:rPr>
        <w:t>Money Laundering and Asset Recovery</w:t>
      </w:r>
      <w:r w:rsidR="004D395E" w:rsidRPr="00803755">
        <w:rPr>
          <w:rFonts w:ascii="Trajan Pro" w:hAnsi="Trajan Pro"/>
          <w:color w:val="000000" w:themeColor="text1"/>
        </w:rPr>
        <w:t xml:space="preserve"> Section (</w:t>
      </w:r>
      <w:r w:rsidRPr="00803755">
        <w:rPr>
          <w:rFonts w:ascii="Trajan Pro" w:hAnsi="Trajan Pro"/>
          <w:color w:val="000000" w:themeColor="text1"/>
        </w:rPr>
        <w:t>MLARS</w:t>
      </w:r>
      <w:r w:rsidR="004D395E" w:rsidRPr="00803755">
        <w:rPr>
          <w:rFonts w:ascii="Trajan Pro" w:hAnsi="Trajan Pro"/>
          <w:color w:val="000000" w:themeColor="text1"/>
        </w:rPr>
        <w:t>)</w:t>
      </w:r>
    </w:p>
    <w:tbl>
      <w:tblPr>
        <w:tblStyle w:val="TableGrid"/>
        <w:tblpPr w:leftFromText="180" w:rightFromText="180" w:vertAnchor="text" w:horzAnchor="margin" w:tblpY="97"/>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673"/>
        <w:gridCol w:w="4729"/>
        <w:gridCol w:w="3395"/>
      </w:tblGrid>
      <w:tr w:rsidR="008C19DE" w:rsidRPr="002C6D57" w14:paraId="27C19DE7" w14:textId="77777777" w:rsidTr="0097457B">
        <w:trPr>
          <w:trHeight w:val="895"/>
        </w:trPr>
        <w:tc>
          <w:tcPr>
            <w:tcW w:w="2673" w:type="dxa"/>
            <w:tcBorders>
              <w:left w:val="nil"/>
              <w:bottom w:val="nil"/>
            </w:tcBorders>
            <w:shd w:val="clear" w:color="auto" w:fill="D9D9D9" w:themeFill="background1" w:themeFillShade="D9"/>
            <w:vAlign w:val="center"/>
          </w:tcPr>
          <w:p w14:paraId="2F835A9C" w14:textId="5925AB26" w:rsidR="008C19DE" w:rsidRPr="002C6D57" w:rsidRDefault="000A1EC7" w:rsidP="0097457B">
            <w:pPr>
              <w:pStyle w:val="SeminarAnnouncement"/>
              <w:jc w:val="left"/>
              <w:rPr>
                <w:rFonts w:ascii="Trajan Pro" w:hAnsi="Trajan Pro"/>
                <w:b w:val="0"/>
              </w:rPr>
            </w:pPr>
            <w:r w:rsidRPr="002C6D57">
              <w:rPr>
                <w:rFonts w:ascii="Trajan Pro" w:hAnsi="Trajan Pro"/>
                <w:b w:val="0"/>
              </w:rPr>
              <w:t xml:space="preserve">Seminar </w:t>
            </w:r>
            <w:r w:rsidR="00916D7C">
              <w:rPr>
                <w:rFonts w:ascii="Trajan Pro" w:hAnsi="Trajan Pro"/>
                <w:b w:val="0"/>
              </w:rPr>
              <w:t>2</w:t>
            </w:r>
            <w:r w:rsidR="001941F5">
              <w:rPr>
                <w:rFonts w:ascii="Trajan Pro" w:hAnsi="Trajan Pro"/>
                <w:b w:val="0"/>
              </w:rPr>
              <w:t>4</w:t>
            </w:r>
            <w:r w:rsidR="00E844EF">
              <w:rPr>
                <w:rFonts w:ascii="Trajan Pro" w:hAnsi="Trajan Pro"/>
                <w:b w:val="0"/>
              </w:rPr>
              <w:t>-</w:t>
            </w:r>
            <w:r w:rsidR="008A6DF0">
              <w:rPr>
                <w:rFonts w:ascii="Trajan Pro" w:hAnsi="Trajan Pro"/>
                <w:b w:val="0"/>
              </w:rPr>
              <w:t>0</w:t>
            </w:r>
            <w:r w:rsidR="00417224">
              <w:rPr>
                <w:rFonts w:ascii="Trajan Pro" w:hAnsi="Trajan Pro"/>
                <w:b w:val="0"/>
              </w:rPr>
              <w:t>7</w:t>
            </w:r>
          </w:p>
          <w:p w14:paraId="5D37EAF0" w14:textId="77777777" w:rsidR="008C19DE" w:rsidRPr="002C6D57" w:rsidRDefault="008C19DE" w:rsidP="0097457B">
            <w:pPr>
              <w:jc w:val="center"/>
              <w:rPr>
                <w:rFonts w:ascii="Trajan Pro" w:hAnsi="Trajan Pro"/>
              </w:rPr>
            </w:pPr>
          </w:p>
        </w:tc>
        <w:tc>
          <w:tcPr>
            <w:tcW w:w="8124" w:type="dxa"/>
            <w:gridSpan w:val="2"/>
            <w:tcBorders>
              <w:bottom w:val="nil"/>
            </w:tcBorders>
            <w:shd w:val="clear" w:color="auto" w:fill="D9D9D9" w:themeFill="background1" w:themeFillShade="D9"/>
            <w:vAlign w:val="center"/>
          </w:tcPr>
          <w:p w14:paraId="453CD1FA" w14:textId="77777777" w:rsidR="008C19DE" w:rsidRPr="002C6D57" w:rsidRDefault="00C652CD" w:rsidP="009E71D5">
            <w:pPr>
              <w:pStyle w:val="SeminarAnnouncement"/>
              <w:jc w:val="left"/>
              <w:rPr>
                <w:rFonts w:ascii="Trajan Pro" w:hAnsi="Trajan Pro"/>
                <w:b w:val="0"/>
              </w:rPr>
            </w:pPr>
            <w:r>
              <w:rPr>
                <w:rFonts w:ascii="Trajan Pro" w:hAnsi="Trajan Pro"/>
                <w:b w:val="0"/>
              </w:rPr>
              <w:t>MLARS</w:t>
            </w:r>
            <w:r w:rsidR="000A1EC7" w:rsidRPr="002C6D57">
              <w:rPr>
                <w:rFonts w:ascii="Trajan Pro" w:hAnsi="Trajan Pro"/>
                <w:b w:val="0"/>
              </w:rPr>
              <w:t xml:space="preserve"> </w:t>
            </w:r>
            <w:r w:rsidR="008C19DE" w:rsidRPr="002C6D57">
              <w:rPr>
                <w:rFonts w:ascii="Trajan Pro" w:hAnsi="Trajan Pro"/>
                <w:b w:val="0"/>
              </w:rPr>
              <w:t>Financial Investigations Seminar</w:t>
            </w:r>
          </w:p>
          <w:p w14:paraId="49504706" w14:textId="115FCA7C" w:rsidR="008C19DE" w:rsidRPr="002C6D57" w:rsidRDefault="00417224" w:rsidP="009E71D5">
            <w:pPr>
              <w:pStyle w:val="SeminarAnnouncement"/>
              <w:jc w:val="left"/>
              <w:rPr>
                <w:rFonts w:ascii="Trajan Pro" w:hAnsi="Trajan Pro"/>
                <w:b w:val="0"/>
              </w:rPr>
            </w:pPr>
            <w:r>
              <w:rPr>
                <w:rFonts w:ascii="Trajan Pro" w:hAnsi="Trajan Pro"/>
                <w:b w:val="0"/>
              </w:rPr>
              <w:t>Wichita, KS</w:t>
            </w:r>
            <w:r w:rsidR="00B74BA9">
              <w:rPr>
                <w:rFonts w:ascii="Trajan Pro" w:hAnsi="Trajan Pro"/>
                <w:b w:val="0"/>
              </w:rPr>
              <w:t xml:space="preserve"> (</w:t>
            </w:r>
            <w:r w:rsidR="00E83EA4">
              <w:rPr>
                <w:rFonts w:ascii="Trajan Pro" w:hAnsi="Trajan Pro"/>
                <w:b w:val="0"/>
              </w:rPr>
              <w:t>May 14-16</w:t>
            </w:r>
            <w:r w:rsidR="000E04B5">
              <w:rPr>
                <w:rFonts w:ascii="Trajan Pro" w:hAnsi="Trajan Pro"/>
                <w:b w:val="0"/>
              </w:rPr>
              <w:t>, 20</w:t>
            </w:r>
            <w:r w:rsidR="00F945E9">
              <w:rPr>
                <w:rFonts w:ascii="Trajan Pro" w:hAnsi="Trajan Pro"/>
                <w:b w:val="0"/>
              </w:rPr>
              <w:t>2</w:t>
            </w:r>
            <w:r w:rsidR="001941F5">
              <w:rPr>
                <w:rFonts w:ascii="Trajan Pro" w:hAnsi="Trajan Pro"/>
                <w:b w:val="0"/>
              </w:rPr>
              <w:t>4</w:t>
            </w:r>
            <w:r w:rsidR="00B74BA9">
              <w:rPr>
                <w:rFonts w:ascii="Trajan Pro" w:hAnsi="Trajan Pro"/>
                <w:b w:val="0"/>
              </w:rPr>
              <w:t>)</w:t>
            </w:r>
          </w:p>
        </w:tc>
      </w:tr>
      <w:tr w:rsidR="008C19DE" w:rsidRPr="00C74C2D" w14:paraId="54B1310E" w14:textId="77777777" w:rsidTr="000F2AFC">
        <w:trPr>
          <w:trHeight w:val="892"/>
        </w:trPr>
        <w:tc>
          <w:tcPr>
            <w:tcW w:w="2673" w:type="dxa"/>
            <w:tcBorders>
              <w:top w:val="inset" w:sz="2" w:space="0" w:color="D9D9D9" w:themeColor="background1" w:themeShade="D9"/>
              <w:left w:val="nil"/>
              <w:bottom w:val="inset" w:sz="2" w:space="0" w:color="D9D9D9" w:themeColor="background1" w:themeShade="D9"/>
              <w:right w:val="nil"/>
            </w:tcBorders>
          </w:tcPr>
          <w:p w14:paraId="49D36FE6" w14:textId="77777777" w:rsidR="008C19DE" w:rsidRPr="002C6D57" w:rsidRDefault="008C19DE" w:rsidP="0097457B">
            <w:pPr>
              <w:pStyle w:val="LeftColumn"/>
              <w:rPr>
                <w:rFonts w:ascii="Trajan Pro" w:hAnsi="Trajan Pro"/>
              </w:rPr>
            </w:pPr>
            <w:r w:rsidRPr="002C6D57">
              <w:rPr>
                <w:rFonts w:ascii="Trajan Pro" w:hAnsi="Trajan Pro"/>
              </w:rPr>
              <w:t>Location</w:t>
            </w:r>
          </w:p>
        </w:tc>
        <w:tc>
          <w:tcPr>
            <w:tcW w:w="8124" w:type="dxa"/>
            <w:gridSpan w:val="2"/>
            <w:tcBorders>
              <w:top w:val="inset" w:sz="2" w:space="0" w:color="D9D9D9" w:themeColor="background1" w:themeShade="D9"/>
              <w:left w:val="nil"/>
              <w:bottom w:val="inset" w:sz="2" w:space="0" w:color="D9D9D9" w:themeColor="background1" w:themeShade="D9"/>
              <w:right w:val="nil"/>
            </w:tcBorders>
          </w:tcPr>
          <w:tbl>
            <w:tblPr>
              <w:tblStyle w:val="TableGrid"/>
              <w:tblpPr w:leftFromText="180" w:rightFromText="180" w:vertAnchor="text" w:horzAnchor="margin" w:tblpY="78"/>
              <w:tblOverlap w:val="never"/>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6950"/>
            </w:tblGrid>
            <w:tr w:rsidR="00EB7547" w:rsidRPr="00AF02A9" w14:paraId="4C940DB2" w14:textId="77777777" w:rsidTr="000F2AFC">
              <w:trPr>
                <w:trHeight w:val="740"/>
              </w:trPr>
              <w:tc>
                <w:tcPr>
                  <w:tcW w:w="6950" w:type="dxa"/>
                  <w:tcBorders>
                    <w:top w:val="inset" w:sz="2" w:space="0" w:color="D9D9D9" w:themeColor="background1" w:themeShade="D9"/>
                    <w:left w:val="nil"/>
                    <w:bottom w:val="inset" w:sz="2" w:space="0" w:color="D9D9D9" w:themeColor="background1" w:themeShade="D9"/>
                    <w:right w:val="nil"/>
                  </w:tcBorders>
                  <w:shd w:val="clear" w:color="auto" w:fill="auto"/>
                </w:tcPr>
                <w:p w14:paraId="06821F10" w14:textId="41059CDD" w:rsidR="00EB7547" w:rsidRPr="00FD06B1" w:rsidRDefault="00550222" w:rsidP="00EB7547">
                  <w:pPr>
                    <w:pStyle w:val="Agenda"/>
                  </w:pPr>
                  <w:r>
                    <w:t>Drury Plaza Hotel</w:t>
                  </w:r>
                  <w:r w:rsidR="00FE6E0A">
                    <w:t xml:space="preserve"> Broad</w:t>
                  </w:r>
                  <w:r w:rsidR="006676C9">
                    <w:t xml:space="preserve">view </w:t>
                  </w:r>
                </w:p>
                <w:p w14:paraId="48EE5E89" w14:textId="3A7C9601" w:rsidR="00EB7547" w:rsidRPr="00FD06B1" w:rsidRDefault="006676C9" w:rsidP="00EB7547">
                  <w:pPr>
                    <w:pStyle w:val="Agenda"/>
                    <w:rPr>
                      <w:rFonts w:cs="Arial"/>
                      <w:color w:val="000000"/>
                    </w:rPr>
                  </w:pPr>
                  <w:r>
                    <w:rPr>
                      <w:rFonts w:cs="Arial"/>
                      <w:color w:val="000000"/>
                    </w:rPr>
                    <w:t>400 West Douglas Avenue</w:t>
                  </w:r>
                </w:p>
                <w:p w14:paraId="7BAD90AC" w14:textId="1306235E" w:rsidR="00E0196A" w:rsidRPr="00AF02A9" w:rsidRDefault="006676C9" w:rsidP="00A7289B">
                  <w:pPr>
                    <w:tabs>
                      <w:tab w:val="left" w:pos="5945"/>
                    </w:tabs>
                    <w:rPr>
                      <w:color w:val="000000" w:themeColor="text1"/>
                    </w:rPr>
                  </w:pPr>
                  <w:r>
                    <w:rPr>
                      <w:color w:val="000000" w:themeColor="text1"/>
                    </w:rPr>
                    <w:t>Wichita, KS 67202</w:t>
                  </w:r>
                </w:p>
              </w:tc>
            </w:tr>
          </w:tbl>
          <w:p w14:paraId="55B9D1C4" w14:textId="77777777" w:rsidR="00C015E4" w:rsidRPr="00C015E4" w:rsidRDefault="00C015E4" w:rsidP="00C015E4">
            <w:pPr>
              <w:rPr>
                <w:color w:val="000000" w:themeColor="text1"/>
                <w:lang w:val="en"/>
              </w:rPr>
            </w:pPr>
          </w:p>
        </w:tc>
      </w:tr>
      <w:tr w:rsidR="008C19DE" w:rsidRPr="00C74C2D" w14:paraId="273E9FA0" w14:textId="77777777" w:rsidTr="008175B5">
        <w:trPr>
          <w:trHeight w:val="361"/>
        </w:trPr>
        <w:tc>
          <w:tcPr>
            <w:tcW w:w="2673" w:type="dxa"/>
            <w:tcBorders>
              <w:top w:val="inset" w:sz="2" w:space="0" w:color="D9D9D9" w:themeColor="background1" w:themeShade="D9"/>
              <w:left w:val="nil"/>
              <w:bottom w:val="single" w:sz="4" w:space="0" w:color="D9D9D9" w:themeColor="background1" w:themeShade="D9"/>
              <w:right w:val="nil"/>
            </w:tcBorders>
            <w:vAlign w:val="center"/>
          </w:tcPr>
          <w:p w14:paraId="2CB3D2A9" w14:textId="77777777" w:rsidR="008C19DE" w:rsidRPr="002C6D57" w:rsidRDefault="008C19DE" w:rsidP="008175B5">
            <w:pPr>
              <w:pStyle w:val="LeftColumn"/>
              <w:rPr>
                <w:rFonts w:ascii="Trajan Pro" w:hAnsi="Trajan Pro"/>
              </w:rPr>
            </w:pPr>
            <w:r w:rsidRPr="002C6D57">
              <w:rPr>
                <w:rFonts w:ascii="Trajan Pro" w:hAnsi="Trajan Pro"/>
              </w:rPr>
              <w:t>Dates</w:t>
            </w:r>
          </w:p>
        </w:tc>
        <w:tc>
          <w:tcPr>
            <w:tcW w:w="8124" w:type="dxa"/>
            <w:gridSpan w:val="2"/>
            <w:tcBorders>
              <w:top w:val="inset" w:sz="2" w:space="0" w:color="D9D9D9" w:themeColor="background1" w:themeShade="D9"/>
              <w:left w:val="nil"/>
              <w:bottom w:val="single" w:sz="4" w:space="0" w:color="D9D9D9" w:themeColor="background1" w:themeShade="D9"/>
              <w:right w:val="nil"/>
            </w:tcBorders>
            <w:vAlign w:val="center"/>
          </w:tcPr>
          <w:p w14:paraId="09A55871" w14:textId="497B2D08" w:rsidR="00AB4EA3" w:rsidRPr="00C015E4" w:rsidRDefault="003863ED" w:rsidP="0059521C">
            <w:pPr>
              <w:pStyle w:val="Agenda"/>
            </w:pPr>
            <w:r>
              <w:t xml:space="preserve"> </w:t>
            </w:r>
            <w:r w:rsidR="001A2A3B">
              <w:t>May</w:t>
            </w:r>
            <w:r w:rsidR="00E74C58">
              <w:t xml:space="preserve"> 14-16</w:t>
            </w:r>
            <w:r w:rsidR="000E04B5">
              <w:t>, 202</w:t>
            </w:r>
            <w:r w:rsidR="00666C6F">
              <w:t>4</w:t>
            </w:r>
          </w:p>
        </w:tc>
      </w:tr>
      <w:tr w:rsidR="008C19DE" w:rsidRPr="00C74C2D" w14:paraId="7967E593" w14:textId="77777777" w:rsidTr="008175B5">
        <w:trPr>
          <w:trHeight w:val="576"/>
        </w:trPr>
        <w:tc>
          <w:tcPr>
            <w:tcW w:w="2673" w:type="dxa"/>
            <w:tcBorders>
              <w:top w:val="single" w:sz="4" w:space="0" w:color="D9D9D9" w:themeColor="background1" w:themeShade="D9"/>
              <w:left w:val="nil"/>
              <w:bottom w:val="nil"/>
              <w:right w:val="nil"/>
            </w:tcBorders>
          </w:tcPr>
          <w:p w14:paraId="287E75EC" w14:textId="77777777" w:rsidR="008C19DE" w:rsidRPr="002C6D57" w:rsidRDefault="008C19DE" w:rsidP="0097457B">
            <w:pPr>
              <w:pStyle w:val="LeftColumn"/>
              <w:rPr>
                <w:rFonts w:ascii="Trajan Pro" w:hAnsi="Trajan Pro"/>
              </w:rPr>
            </w:pPr>
            <w:r w:rsidRPr="002C6D57">
              <w:rPr>
                <w:rFonts w:ascii="Trajan Pro" w:hAnsi="Trajan Pro"/>
              </w:rPr>
              <w:t>Time</w:t>
            </w:r>
          </w:p>
        </w:tc>
        <w:tc>
          <w:tcPr>
            <w:tcW w:w="8124" w:type="dxa"/>
            <w:gridSpan w:val="2"/>
            <w:tcBorders>
              <w:top w:val="single" w:sz="4" w:space="0" w:color="D9D9D9" w:themeColor="background1" w:themeShade="D9"/>
              <w:left w:val="nil"/>
              <w:bottom w:val="nil"/>
              <w:right w:val="nil"/>
            </w:tcBorders>
          </w:tcPr>
          <w:p w14:paraId="167EAC70" w14:textId="77777777" w:rsidR="00EB4AD4" w:rsidRDefault="00EB4AD4" w:rsidP="00EB4AD4">
            <w:pPr>
              <w:pStyle w:val="Agenda"/>
            </w:pPr>
            <w:r>
              <w:t xml:space="preserve">The Financial Investigations Seminar is three FULL days. </w:t>
            </w:r>
          </w:p>
          <w:p w14:paraId="14AA0607" w14:textId="77777777" w:rsidR="00EB4AD4" w:rsidRPr="008175B5" w:rsidRDefault="00EB4AD4" w:rsidP="00EB4AD4">
            <w:pPr>
              <w:pStyle w:val="Agenda"/>
              <w:rPr>
                <w:sz w:val="12"/>
                <w:szCs w:val="12"/>
              </w:rPr>
            </w:pPr>
          </w:p>
          <w:p w14:paraId="59B5FD01" w14:textId="5015A25A" w:rsidR="00EB4AD4" w:rsidRDefault="00EB4AD4" w:rsidP="00EB4AD4">
            <w:pPr>
              <w:pStyle w:val="Agenda"/>
            </w:pPr>
            <w:r w:rsidRPr="00C015E4">
              <w:t xml:space="preserve">Registration </w:t>
            </w:r>
            <w:r>
              <w:t xml:space="preserve">will </w:t>
            </w:r>
            <w:r w:rsidRPr="00C015E4">
              <w:t xml:space="preserve">begin at 8:30am on Tuesday, </w:t>
            </w:r>
            <w:r w:rsidR="00E83EA4">
              <w:t>May 14</w:t>
            </w:r>
            <w:r w:rsidR="000E04B5">
              <w:t xml:space="preserve">, </w:t>
            </w:r>
            <w:r w:rsidR="00FF16D9">
              <w:t>2024,</w:t>
            </w:r>
            <w:r w:rsidR="00C92AB7">
              <w:t xml:space="preserve"> </w:t>
            </w:r>
            <w:r>
              <w:t xml:space="preserve">and class will start promptly at </w:t>
            </w:r>
            <w:r w:rsidRPr="00C015E4">
              <w:t xml:space="preserve">9:00 a.m. </w:t>
            </w:r>
            <w:r>
              <w:t>each day</w:t>
            </w:r>
            <w:r w:rsidR="000E04B5">
              <w:t xml:space="preserve">.  </w:t>
            </w:r>
            <w:r>
              <w:t xml:space="preserve">Class is scheduled to </w:t>
            </w:r>
            <w:r w:rsidRPr="00C015E4">
              <w:t xml:space="preserve">end at </w:t>
            </w:r>
            <w:r>
              <w:t>4</w:t>
            </w:r>
            <w:r w:rsidRPr="00C015E4">
              <w:t>:</w:t>
            </w:r>
            <w:r>
              <w:t>3</w:t>
            </w:r>
            <w:r w:rsidRPr="00C015E4">
              <w:t>0 p.m. on Thursday,</w:t>
            </w:r>
            <w:r w:rsidR="000E4C62">
              <w:t xml:space="preserve"> </w:t>
            </w:r>
            <w:r w:rsidR="00E83EA4">
              <w:t>May 16</w:t>
            </w:r>
            <w:r w:rsidR="000E04B5">
              <w:t>,</w:t>
            </w:r>
            <w:r w:rsidR="003863ED">
              <w:t xml:space="preserve"> </w:t>
            </w:r>
            <w:r w:rsidR="000E04B5">
              <w:t>202</w:t>
            </w:r>
            <w:r w:rsidR="008D3E67">
              <w:t>4</w:t>
            </w:r>
            <w:r w:rsidRPr="00C015E4">
              <w:t xml:space="preserve">.  </w:t>
            </w:r>
          </w:p>
          <w:p w14:paraId="35B7EDA0" w14:textId="77777777" w:rsidR="00EB4AD4" w:rsidRPr="008175B5" w:rsidRDefault="00EB4AD4" w:rsidP="00EB4AD4">
            <w:pPr>
              <w:pStyle w:val="Agenda"/>
              <w:rPr>
                <w:sz w:val="12"/>
                <w:szCs w:val="12"/>
              </w:rPr>
            </w:pPr>
          </w:p>
          <w:p w14:paraId="6C23D9EE" w14:textId="77777777" w:rsidR="00AB4EA3" w:rsidRDefault="00EB4AD4" w:rsidP="00EB4AD4">
            <w:pPr>
              <w:pStyle w:val="Agenda"/>
            </w:pPr>
            <w:r w:rsidRPr="00C015E4">
              <w:t>Participants must be present for the entire three days.</w:t>
            </w:r>
          </w:p>
          <w:p w14:paraId="366C7241" w14:textId="77777777" w:rsidR="00EB4AD4" w:rsidRPr="00C015E4" w:rsidRDefault="00EB4AD4" w:rsidP="00EB4AD4">
            <w:pPr>
              <w:pStyle w:val="Agenda"/>
            </w:pPr>
          </w:p>
        </w:tc>
      </w:tr>
      <w:tr w:rsidR="008C19DE" w:rsidRPr="00C74C2D" w14:paraId="4E15172D" w14:textId="77777777" w:rsidTr="0097457B">
        <w:trPr>
          <w:trHeight w:val="576"/>
        </w:trPr>
        <w:tc>
          <w:tcPr>
            <w:tcW w:w="2673" w:type="dxa"/>
            <w:tcBorders>
              <w:top w:val="inset" w:sz="2" w:space="0" w:color="D9D9D9" w:themeColor="background1" w:themeShade="D9"/>
              <w:left w:val="nil"/>
              <w:bottom w:val="inset" w:sz="2" w:space="0" w:color="D9D9D9" w:themeColor="background1" w:themeShade="D9"/>
              <w:right w:val="nil"/>
            </w:tcBorders>
          </w:tcPr>
          <w:p w14:paraId="21DF40ED" w14:textId="77777777" w:rsidR="008C19DE" w:rsidRPr="002C6D57" w:rsidRDefault="008C19DE" w:rsidP="0097457B">
            <w:pPr>
              <w:pStyle w:val="LeftColumn"/>
              <w:rPr>
                <w:rFonts w:ascii="Trajan Pro" w:hAnsi="Trajan Pro"/>
              </w:rPr>
            </w:pPr>
            <w:r w:rsidRPr="002C6D57">
              <w:rPr>
                <w:rFonts w:ascii="Trajan Pro" w:hAnsi="Trajan Pro"/>
              </w:rPr>
              <w:t>Attire</w:t>
            </w:r>
          </w:p>
        </w:tc>
        <w:tc>
          <w:tcPr>
            <w:tcW w:w="8124" w:type="dxa"/>
            <w:gridSpan w:val="2"/>
            <w:tcBorders>
              <w:top w:val="inset" w:sz="2" w:space="0" w:color="D9D9D9" w:themeColor="background1" w:themeShade="D9"/>
              <w:left w:val="nil"/>
              <w:bottom w:val="inset" w:sz="2" w:space="0" w:color="D9D9D9" w:themeColor="background1" w:themeShade="D9"/>
              <w:right w:val="nil"/>
            </w:tcBorders>
          </w:tcPr>
          <w:p w14:paraId="0CCA75C7" w14:textId="77777777" w:rsidR="00AB4EA3" w:rsidRPr="00C74C2D" w:rsidRDefault="008C19DE" w:rsidP="0097457B">
            <w:pPr>
              <w:pStyle w:val="Agenda"/>
            </w:pPr>
            <w:r w:rsidRPr="00C74C2D">
              <w:t>Business Casual</w:t>
            </w:r>
          </w:p>
        </w:tc>
      </w:tr>
      <w:tr w:rsidR="008C19DE" w:rsidRPr="00C74C2D" w14:paraId="33F05657" w14:textId="77777777" w:rsidTr="0097457B">
        <w:trPr>
          <w:trHeight w:val="576"/>
        </w:trPr>
        <w:tc>
          <w:tcPr>
            <w:tcW w:w="2673" w:type="dxa"/>
            <w:tcBorders>
              <w:top w:val="inset" w:sz="2" w:space="0" w:color="D9D9D9" w:themeColor="background1" w:themeShade="D9"/>
              <w:left w:val="nil"/>
              <w:bottom w:val="inset" w:sz="2" w:space="0" w:color="D9D9D9" w:themeColor="background1" w:themeShade="D9"/>
              <w:right w:val="nil"/>
            </w:tcBorders>
          </w:tcPr>
          <w:p w14:paraId="1A2708EB" w14:textId="77777777" w:rsidR="008C19DE" w:rsidRPr="002C6D57" w:rsidRDefault="008C19DE" w:rsidP="0097457B">
            <w:pPr>
              <w:pStyle w:val="LeftColumn"/>
              <w:rPr>
                <w:rFonts w:ascii="Trajan Pro" w:hAnsi="Trajan Pro"/>
              </w:rPr>
            </w:pPr>
            <w:r w:rsidRPr="002C6D57">
              <w:rPr>
                <w:rFonts w:ascii="Trajan Pro" w:hAnsi="Trajan Pro"/>
              </w:rPr>
              <w:t>Prerequisite</w:t>
            </w:r>
          </w:p>
        </w:tc>
        <w:tc>
          <w:tcPr>
            <w:tcW w:w="8124" w:type="dxa"/>
            <w:gridSpan w:val="2"/>
            <w:tcBorders>
              <w:top w:val="inset" w:sz="2" w:space="0" w:color="D9D9D9" w:themeColor="background1" w:themeShade="D9"/>
              <w:left w:val="nil"/>
              <w:bottom w:val="inset" w:sz="2" w:space="0" w:color="D9D9D9" w:themeColor="background1" w:themeShade="D9"/>
              <w:right w:val="nil"/>
            </w:tcBorders>
          </w:tcPr>
          <w:p w14:paraId="668DE49A" w14:textId="395D6E02" w:rsidR="00AB4EA3" w:rsidRDefault="00AB4EA3" w:rsidP="0097457B">
            <w:pPr>
              <w:pStyle w:val="Agenda"/>
            </w:pPr>
            <w:r>
              <w:t>The Financial Investigations Seminar is o</w:t>
            </w:r>
            <w:r w:rsidR="008C19DE" w:rsidRPr="00C74C2D">
              <w:t xml:space="preserve">pen only to participants with </w:t>
            </w:r>
            <w:r w:rsidR="00AA4617" w:rsidRPr="00AA4617">
              <w:rPr>
                <w:b/>
                <w:bCs/>
              </w:rPr>
              <w:t>less than</w:t>
            </w:r>
            <w:r w:rsidR="00AA4617">
              <w:t xml:space="preserve"> </w:t>
            </w:r>
            <w:r w:rsidR="008C19DE" w:rsidRPr="00F54152">
              <w:rPr>
                <w:b/>
              </w:rPr>
              <w:t xml:space="preserve">five years </w:t>
            </w:r>
            <w:r>
              <w:rPr>
                <w:b/>
              </w:rPr>
              <w:t xml:space="preserve">of experience </w:t>
            </w:r>
            <w:r w:rsidR="008C19DE" w:rsidRPr="00C74C2D">
              <w:t>in financial investigations, asset forfeiture, and money laundering.</w:t>
            </w:r>
          </w:p>
          <w:p w14:paraId="6C87E1DA" w14:textId="77777777" w:rsidR="0097457B" w:rsidRPr="00C74C2D" w:rsidRDefault="0097457B" w:rsidP="0097457B">
            <w:pPr>
              <w:pStyle w:val="Agenda"/>
            </w:pPr>
          </w:p>
        </w:tc>
      </w:tr>
      <w:tr w:rsidR="008C19DE" w:rsidRPr="00C74C2D" w14:paraId="362E2B81" w14:textId="77777777" w:rsidTr="0097457B">
        <w:trPr>
          <w:trHeight w:val="576"/>
        </w:trPr>
        <w:tc>
          <w:tcPr>
            <w:tcW w:w="2673" w:type="dxa"/>
            <w:tcBorders>
              <w:top w:val="inset" w:sz="2" w:space="0" w:color="D9D9D9" w:themeColor="background1" w:themeShade="D9"/>
              <w:left w:val="nil"/>
              <w:bottom w:val="nil"/>
              <w:right w:val="nil"/>
            </w:tcBorders>
          </w:tcPr>
          <w:p w14:paraId="262D220C" w14:textId="77777777" w:rsidR="008C19DE" w:rsidRPr="002C6D57" w:rsidRDefault="008C19DE" w:rsidP="0097457B">
            <w:pPr>
              <w:pStyle w:val="LeftColumn"/>
              <w:rPr>
                <w:rFonts w:ascii="Trajan Pro" w:hAnsi="Trajan Pro"/>
              </w:rPr>
            </w:pPr>
            <w:r w:rsidRPr="002C6D57">
              <w:rPr>
                <w:rFonts w:ascii="Trajan Pro" w:hAnsi="Trajan Pro"/>
              </w:rPr>
              <w:t>Expenses</w:t>
            </w:r>
            <w:r w:rsidR="00AB4EA3">
              <w:rPr>
                <w:rFonts w:ascii="Trajan Pro" w:hAnsi="Trajan Pro"/>
              </w:rPr>
              <w:t>/Per Diem</w:t>
            </w:r>
          </w:p>
        </w:tc>
        <w:tc>
          <w:tcPr>
            <w:tcW w:w="8124" w:type="dxa"/>
            <w:gridSpan w:val="2"/>
            <w:tcBorders>
              <w:top w:val="inset" w:sz="2" w:space="0" w:color="D9D9D9" w:themeColor="background1" w:themeShade="D9"/>
              <w:left w:val="nil"/>
              <w:bottom w:val="nil"/>
              <w:right w:val="nil"/>
            </w:tcBorders>
          </w:tcPr>
          <w:p w14:paraId="377FC0BD" w14:textId="4C9E9DBC" w:rsidR="00CF51E6" w:rsidRDefault="008C19DE" w:rsidP="0097457B">
            <w:pPr>
              <w:pStyle w:val="Agenda"/>
            </w:pPr>
            <w:r w:rsidRPr="00C74C2D">
              <w:t>There is no enrollment cost for this seminar</w:t>
            </w:r>
            <w:r w:rsidRPr="006307E1">
              <w:t xml:space="preserve">. </w:t>
            </w:r>
          </w:p>
          <w:p w14:paraId="73303BD4" w14:textId="77777777" w:rsidR="00CF51E6" w:rsidRDefault="00CF51E6" w:rsidP="0097457B">
            <w:pPr>
              <w:pStyle w:val="Agenda"/>
            </w:pPr>
          </w:p>
          <w:p w14:paraId="361B852B" w14:textId="3022BEDA" w:rsidR="00CF51E6" w:rsidRDefault="00CF51E6" w:rsidP="0097457B">
            <w:pPr>
              <w:pStyle w:val="Agenda"/>
            </w:pPr>
            <w:r w:rsidRPr="00CF51E6">
              <w:t>Government rate for hotels in Wichita is $107 and M&amp;IE per diem is $59 and $44.25 on travel days.  You will not be authorized to exceed this amount.</w:t>
            </w:r>
            <w:r w:rsidR="003835D7">
              <w:t xml:space="preserve"> We have a block of rooms set aside at the Drury Plaza Hotel. A link for the room block will be sent with the acceptance email. </w:t>
            </w:r>
          </w:p>
          <w:p w14:paraId="12E84ACF" w14:textId="77777777" w:rsidR="00737DDE" w:rsidRDefault="00737DDE" w:rsidP="0097457B">
            <w:pPr>
              <w:pStyle w:val="Agenda"/>
            </w:pPr>
          </w:p>
          <w:p w14:paraId="4A61BACB" w14:textId="77777777" w:rsidR="008175B5" w:rsidRPr="008175B5" w:rsidRDefault="008175B5" w:rsidP="0097457B">
            <w:pPr>
              <w:pStyle w:val="Agenda"/>
              <w:rPr>
                <w:b/>
                <w:sz w:val="12"/>
                <w:szCs w:val="12"/>
                <w:u w:val="single"/>
              </w:rPr>
            </w:pPr>
          </w:p>
          <w:p w14:paraId="2247ED9E" w14:textId="77777777" w:rsidR="008C19DE" w:rsidRDefault="008C19DE" w:rsidP="0097457B">
            <w:pPr>
              <w:pStyle w:val="Agenda"/>
            </w:pPr>
            <w:r w:rsidRPr="006307E1">
              <w:rPr>
                <w:b/>
                <w:u w:val="single"/>
              </w:rPr>
              <w:t>Participant’s agency/office is responsible for paying the travel expenses for this training event</w:t>
            </w:r>
            <w:r w:rsidRPr="00C74C2D">
              <w:t xml:space="preserve">.  </w:t>
            </w:r>
          </w:p>
          <w:p w14:paraId="3C738125" w14:textId="77777777" w:rsidR="00AB4EA3" w:rsidRPr="00C74C2D" w:rsidRDefault="00AB4EA3" w:rsidP="0097457B">
            <w:pPr>
              <w:pStyle w:val="Agenda"/>
            </w:pPr>
          </w:p>
        </w:tc>
      </w:tr>
      <w:tr w:rsidR="008C19DE" w:rsidRPr="00C74C2D" w14:paraId="32F5D253" w14:textId="77777777" w:rsidTr="0097457B">
        <w:trPr>
          <w:trHeight w:val="576"/>
        </w:trPr>
        <w:tc>
          <w:tcPr>
            <w:tcW w:w="2673" w:type="dxa"/>
            <w:tcBorders>
              <w:top w:val="inset" w:sz="2" w:space="0" w:color="D9D9D9" w:themeColor="background1" w:themeShade="D9"/>
              <w:left w:val="nil"/>
              <w:bottom w:val="nil"/>
              <w:right w:val="nil"/>
            </w:tcBorders>
          </w:tcPr>
          <w:p w14:paraId="2447BD25" w14:textId="77777777" w:rsidR="008C19DE" w:rsidRPr="002C6D57" w:rsidRDefault="008C19DE" w:rsidP="0097457B">
            <w:pPr>
              <w:pStyle w:val="LeftColumn"/>
              <w:rPr>
                <w:rFonts w:ascii="Trajan Pro" w:hAnsi="Trajan Pro"/>
              </w:rPr>
            </w:pPr>
            <w:r w:rsidRPr="002C6D57">
              <w:rPr>
                <w:rFonts w:ascii="Trajan Pro" w:hAnsi="Trajan Pro"/>
              </w:rPr>
              <w:t>Nomination Forms</w:t>
            </w:r>
          </w:p>
        </w:tc>
        <w:tc>
          <w:tcPr>
            <w:tcW w:w="8124" w:type="dxa"/>
            <w:gridSpan w:val="2"/>
            <w:tcBorders>
              <w:top w:val="inset" w:sz="2" w:space="0" w:color="D9D9D9" w:themeColor="background1" w:themeShade="D9"/>
              <w:left w:val="nil"/>
              <w:bottom w:val="nil"/>
              <w:right w:val="nil"/>
            </w:tcBorders>
          </w:tcPr>
          <w:p w14:paraId="6F3000A4" w14:textId="77777777" w:rsidR="0097457B" w:rsidRPr="00B74BA9" w:rsidRDefault="0097457B" w:rsidP="0097457B">
            <w:pPr>
              <w:pStyle w:val="Agenda"/>
              <w:rPr>
                <w:b/>
              </w:rPr>
            </w:pPr>
            <w:r w:rsidRPr="00B74BA9">
              <w:rPr>
                <w:b/>
              </w:rPr>
              <w:t>T</w:t>
            </w:r>
            <w:r w:rsidR="008C19DE" w:rsidRPr="00B74BA9">
              <w:rPr>
                <w:b/>
              </w:rPr>
              <w:t>he attached nomin</w:t>
            </w:r>
            <w:r w:rsidRPr="00B74BA9">
              <w:rPr>
                <w:b/>
              </w:rPr>
              <w:t xml:space="preserve">ation </w:t>
            </w:r>
            <w:r w:rsidR="008C19DE" w:rsidRPr="00B74BA9">
              <w:rPr>
                <w:b/>
              </w:rPr>
              <w:t xml:space="preserve">form </w:t>
            </w:r>
            <w:r w:rsidRPr="00B74BA9">
              <w:rPr>
                <w:b/>
              </w:rPr>
              <w:t xml:space="preserve">should be returned to your agency’s training coordinator no later than the date indicated. </w:t>
            </w:r>
          </w:p>
          <w:p w14:paraId="1F95895E" w14:textId="77777777" w:rsidR="0097457B" w:rsidRPr="008175B5" w:rsidRDefault="0097457B" w:rsidP="0097457B">
            <w:pPr>
              <w:pStyle w:val="Agenda"/>
              <w:rPr>
                <w:b/>
                <w:sz w:val="12"/>
                <w:szCs w:val="12"/>
              </w:rPr>
            </w:pPr>
          </w:p>
          <w:p w14:paraId="46C3A34E" w14:textId="77777777" w:rsidR="0097457B" w:rsidRPr="00B74BA9" w:rsidRDefault="0097457B" w:rsidP="0097457B">
            <w:pPr>
              <w:pStyle w:val="Agenda"/>
              <w:rPr>
                <w:b/>
              </w:rPr>
            </w:pPr>
            <w:r w:rsidRPr="00B74BA9">
              <w:rPr>
                <w:b/>
              </w:rPr>
              <w:t xml:space="preserve">If you are from a USAO, they can be sent </w:t>
            </w:r>
            <w:r w:rsidR="008C19DE" w:rsidRPr="00B74BA9">
              <w:rPr>
                <w:b/>
              </w:rPr>
              <w:t xml:space="preserve">to </w:t>
            </w:r>
            <w:r w:rsidR="00827F5E" w:rsidRPr="00B74BA9">
              <w:rPr>
                <w:b/>
              </w:rPr>
              <w:t>Craig Newell</w:t>
            </w:r>
            <w:r w:rsidR="000A4F51" w:rsidRPr="00B74BA9">
              <w:rPr>
                <w:b/>
              </w:rPr>
              <w:t xml:space="preserve"> </w:t>
            </w:r>
            <w:r w:rsidR="008C19DE" w:rsidRPr="00B74BA9">
              <w:rPr>
                <w:b/>
              </w:rPr>
              <w:t xml:space="preserve">at </w:t>
            </w:r>
            <w:hyperlink r:id="rId8" w:history="1">
              <w:r w:rsidR="00BD30A4" w:rsidRPr="00B74BA9">
                <w:rPr>
                  <w:rStyle w:val="Hyperlink"/>
                  <w:b/>
                </w:rPr>
                <w:t>craig.newell2@usdoj.gov</w:t>
              </w:r>
            </w:hyperlink>
            <w:r w:rsidR="00BD30A4" w:rsidRPr="00B74BA9">
              <w:rPr>
                <w:b/>
              </w:rPr>
              <w:t xml:space="preserve"> </w:t>
            </w:r>
            <w:r w:rsidRPr="00B74BA9">
              <w:rPr>
                <w:b/>
              </w:rPr>
              <w:t xml:space="preserve"> </w:t>
            </w:r>
          </w:p>
          <w:p w14:paraId="5A5CBE1A" w14:textId="77777777" w:rsidR="0097457B" w:rsidRPr="00C74C2D" w:rsidRDefault="0097457B" w:rsidP="0097457B">
            <w:pPr>
              <w:pStyle w:val="Agenda"/>
            </w:pPr>
          </w:p>
        </w:tc>
      </w:tr>
      <w:tr w:rsidR="0097457B" w:rsidRPr="00C74C2D" w14:paraId="1C24A14F" w14:textId="77777777" w:rsidTr="0097457B">
        <w:trPr>
          <w:trHeight w:val="576"/>
        </w:trPr>
        <w:tc>
          <w:tcPr>
            <w:tcW w:w="2673" w:type="dxa"/>
            <w:tcBorders>
              <w:top w:val="inset" w:sz="2" w:space="0" w:color="D9D9D9" w:themeColor="background1" w:themeShade="D9"/>
              <w:left w:val="nil"/>
              <w:bottom w:val="nil"/>
              <w:right w:val="nil"/>
            </w:tcBorders>
          </w:tcPr>
          <w:p w14:paraId="1B927CB1" w14:textId="77777777" w:rsidR="0097457B" w:rsidRPr="002C6D57" w:rsidRDefault="0097457B" w:rsidP="0097457B">
            <w:pPr>
              <w:pStyle w:val="LeftColumn"/>
              <w:rPr>
                <w:rFonts w:ascii="Trajan Pro" w:hAnsi="Trajan Pro"/>
              </w:rPr>
            </w:pPr>
            <w:r>
              <w:rPr>
                <w:rFonts w:ascii="Trajan Pro" w:hAnsi="Trajan Pro"/>
              </w:rPr>
              <w:t>Acceptance</w:t>
            </w:r>
          </w:p>
        </w:tc>
        <w:tc>
          <w:tcPr>
            <w:tcW w:w="8124" w:type="dxa"/>
            <w:gridSpan w:val="2"/>
            <w:tcBorders>
              <w:top w:val="inset" w:sz="2" w:space="0" w:color="D9D9D9" w:themeColor="background1" w:themeShade="D9"/>
              <w:left w:val="nil"/>
              <w:bottom w:val="nil"/>
              <w:right w:val="nil"/>
            </w:tcBorders>
          </w:tcPr>
          <w:p w14:paraId="5DC6512A" w14:textId="0FE9B92F" w:rsidR="0097457B" w:rsidRDefault="0097457B" w:rsidP="00B03A49">
            <w:pPr>
              <w:pStyle w:val="Agenda"/>
            </w:pPr>
            <w:r w:rsidRPr="00C74C2D">
              <w:t xml:space="preserve">Acceptance e-mails will be sent </w:t>
            </w:r>
            <w:r w:rsidR="00B03A49">
              <w:t xml:space="preserve">the week </w:t>
            </w:r>
            <w:r w:rsidR="00F372EC" w:rsidRPr="004C5441">
              <w:t xml:space="preserve">of </w:t>
            </w:r>
            <w:r w:rsidR="004D2CD7">
              <w:t xml:space="preserve">March </w:t>
            </w:r>
            <w:r w:rsidR="004663A0">
              <w:t>1</w:t>
            </w:r>
            <w:r w:rsidR="00DE5F39">
              <w:t>1</w:t>
            </w:r>
            <w:r w:rsidR="004D2CD7">
              <w:t>th</w:t>
            </w:r>
            <w:r w:rsidR="00B03A49" w:rsidRPr="004C5441">
              <w:t>,</w:t>
            </w:r>
            <w:r w:rsidR="00A817A3" w:rsidRPr="004C5441">
              <w:t xml:space="preserve"> 20</w:t>
            </w:r>
            <w:r w:rsidR="00F372EC" w:rsidRPr="004C5441">
              <w:t>24</w:t>
            </w:r>
            <w:r w:rsidRPr="004C5441">
              <w:t>.</w:t>
            </w:r>
            <w:r w:rsidRPr="00C74C2D">
              <w:t xml:space="preserve">  </w:t>
            </w:r>
          </w:p>
        </w:tc>
      </w:tr>
      <w:tr w:rsidR="0097457B" w:rsidRPr="00C74C2D" w14:paraId="04F3FFDA" w14:textId="77777777" w:rsidTr="0097457B">
        <w:trPr>
          <w:trHeight w:val="576"/>
        </w:trPr>
        <w:tc>
          <w:tcPr>
            <w:tcW w:w="2673" w:type="dxa"/>
            <w:tcBorders>
              <w:top w:val="inset" w:sz="2" w:space="0" w:color="D9D9D9" w:themeColor="background1" w:themeShade="D9"/>
              <w:left w:val="nil"/>
              <w:bottom w:val="nil"/>
              <w:right w:val="nil"/>
            </w:tcBorders>
          </w:tcPr>
          <w:p w14:paraId="444D2080" w14:textId="77777777" w:rsidR="0097457B" w:rsidRPr="002C6D57" w:rsidRDefault="0097457B" w:rsidP="0097457B">
            <w:pPr>
              <w:pStyle w:val="LeftColumn"/>
              <w:rPr>
                <w:rFonts w:ascii="Trajan Pro" w:hAnsi="Trajan Pro"/>
              </w:rPr>
            </w:pPr>
            <w:r>
              <w:rPr>
                <w:rFonts w:ascii="Trajan Pro" w:hAnsi="Trajan Pro"/>
              </w:rPr>
              <w:t>MLARS Contact</w:t>
            </w:r>
          </w:p>
        </w:tc>
        <w:tc>
          <w:tcPr>
            <w:tcW w:w="4729" w:type="dxa"/>
            <w:tcBorders>
              <w:top w:val="inset" w:sz="2" w:space="0" w:color="D9D9D9" w:themeColor="background1" w:themeShade="D9"/>
              <w:left w:val="nil"/>
              <w:bottom w:val="nil"/>
              <w:right w:val="nil"/>
            </w:tcBorders>
          </w:tcPr>
          <w:p w14:paraId="5DE4AF4E" w14:textId="77777777" w:rsidR="0097457B" w:rsidRDefault="0097457B" w:rsidP="0097457B">
            <w:pPr>
              <w:pStyle w:val="Agenda"/>
            </w:pPr>
            <w:r>
              <w:t>Craig Newell</w:t>
            </w:r>
            <w:r w:rsidRPr="00C74C2D">
              <w:t xml:space="preserve">, </w:t>
            </w:r>
            <w:r w:rsidR="00C015E4">
              <w:t>Deputy Chief</w:t>
            </w:r>
          </w:p>
          <w:p w14:paraId="29263740" w14:textId="77777777" w:rsidR="00C015E4" w:rsidRDefault="00C015E4" w:rsidP="0097457B">
            <w:pPr>
              <w:pStyle w:val="Agenda"/>
            </w:pPr>
            <w:r>
              <w:t>Program Management and Training Unit</w:t>
            </w:r>
          </w:p>
          <w:p w14:paraId="3A226C04" w14:textId="77777777" w:rsidR="0097457B" w:rsidRDefault="0097457B" w:rsidP="0097457B">
            <w:pPr>
              <w:pStyle w:val="Agenda"/>
            </w:pPr>
            <w:r>
              <w:t xml:space="preserve">MLARS, </w:t>
            </w:r>
            <w:r w:rsidRPr="00C74C2D">
              <w:t>Criminal Division</w:t>
            </w:r>
          </w:p>
        </w:tc>
        <w:tc>
          <w:tcPr>
            <w:tcW w:w="3395" w:type="dxa"/>
            <w:tcBorders>
              <w:top w:val="inset" w:sz="2" w:space="0" w:color="D9D9D9" w:themeColor="background1" w:themeShade="D9"/>
              <w:left w:val="nil"/>
              <w:bottom w:val="nil"/>
              <w:right w:val="nil"/>
            </w:tcBorders>
          </w:tcPr>
          <w:p w14:paraId="5596A028" w14:textId="77777777" w:rsidR="0097457B" w:rsidRDefault="0097457B" w:rsidP="0097457B">
            <w:pPr>
              <w:pStyle w:val="Agenda"/>
            </w:pPr>
            <w:r w:rsidRPr="00C74C2D">
              <w:t>202-616-</w:t>
            </w:r>
            <w:r>
              <w:t xml:space="preserve">3272 </w:t>
            </w:r>
          </w:p>
          <w:p w14:paraId="0E8AFC0C" w14:textId="77777777" w:rsidR="0097457B" w:rsidRPr="00C74C2D" w:rsidRDefault="005B1135" w:rsidP="0097457B">
            <w:pPr>
              <w:pStyle w:val="Agenda"/>
            </w:pPr>
            <w:hyperlink r:id="rId9" w:history="1">
              <w:r w:rsidR="0097457B" w:rsidRPr="00CA0A3F">
                <w:rPr>
                  <w:rStyle w:val="Hyperlink"/>
                </w:rPr>
                <w:t>craig.newell2@usdoj.gov</w:t>
              </w:r>
            </w:hyperlink>
          </w:p>
        </w:tc>
      </w:tr>
    </w:tbl>
    <w:p w14:paraId="1FAAF71C" w14:textId="77777777" w:rsidR="00AB4EA3" w:rsidRDefault="00AB4EA3" w:rsidP="00C74C2D"/>
    <w:p w14:paraId="7CD6A763" w14:textId="77777777" w:rsidR="00AB4EA3" w:rsidRDefault="00AB4EA3">
      <w:r>
        <w:br w:type="page"/>
      </w:r>
    </w:p>
    <w:p w14:paraId="51E08656" w14:textId="77777777" w:rsidR="0097457B" w:rsidRPr="0097457B" w:rsidRDefault="0097457B" w:rsidP="0097457B">
      <w:pPr>
        <w:pStyle w:val="SeminarAnnouncement"/>
        <w:tabs>
          <w:tab w:val="left" w:pos="3675"/>
          <w:tab w:val="center" w:pos="5400"/>
        </w:tabs>
        <w:jc w:val="left"/>
        <w:rPr>
          <w:rFonts w:ascii="Trajan Pro" w:hAnsi="Trajan Pro"/>
          <w:color w:val="000000" w:themeColor="text1"/>
          <w:sz w:val="28"/>
          <w:szCs w:val="28"/>
        </w:rPr>
      </w:pPr>
      <w:r w:rsidRPr="0097457B">
        <w:rPr>
          <w:rFonts w:ascii="Trajan Pro" w:hAnsi="Trajan Pro"/>
          <w:color w:val="000000" w:themeColor="text1"/>
          <w:sz w:val="28"/>
          <w:szCs w:val="28"/>
        </w:rPr>
        <w:lastRenderedPageBreak/>
        <w:tab/>
        <w:t>SEMINAR ANNOUNCEMENT</w:t>
      </w:r>
    </w:p>
    <w:p w14:paraId="2D8E775F" w14:textId="77777777" w:rsidR="004D395E" w:rsidRPr="0097457B" w:rsidRDefault="0097457B" w:rsidP="0097457B">
      <w:pPr>
        <w:pStyle w:val="SeminarAnnouncement"/>
        <w:rPr>
          <w:rFonts w:ascii="Trajan Pro" w:hAnsi="Trajan Pro"/>
          <w:color w:val="000000" w:themeColor="text1"/>
        </w:rPr>
      </w:pPr>
      <w:r w:rsidRPr="00803755">
        <w:rPr>
          <w:rFonts w:ascii="Trajan Pro" w:hAnsi="Trajan Pro"/>
          <w:color w:val="000000" w:themeColor="text1"/>
        </w:rPr>
        <w:t>Money Laundering and Asset Recovery Section (MLARS)</w:t>
      </w:r>
    </w:p>
    <w:tbl>
      <w:tblPr>
        <w:tblStyle w:val="TableGrid"/>
        <w:tblpPr w:leftFromText="180" w:rightFromText="180" w:vertAnchor="text" w:horzAnchor="margin" w:tblpY="168"/>
        <w:tblW w:w="0" w:type="auto"/>
        <w:tblBorders>
          <w:top w:val="none" w:sz="0" w:space="0" w:color="auto"/>
          <w:left w:val="none" w:sz="0" w:space="0" w:color="auto"/>
          <w:bottom w:val="none" w:sz="0"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873"/>
        <w:gridCol w:w="7927"/>
      </w:tblGrid>
      <w:tr w:rsidR="00C015E4" w:rsidRPr="00C74C2D" w14:paraId="1FA1601B" w14:textId="77777777" w:rsidTr="00BD30A4">
        <w:trPr>
          <w:trHeight w:val="900"/>
        </w:trPr>
        <w:tc>
          <w:tcPr>
            <w:tcW w:w="2873" w:type="dxa"/>
            <w:shd w:val="clear" w:color="auto" w:fill="D9D9D9" w:themeFill="background1" w:themeFillShade="D9"/>
            <w:vAlign w:val="center"/>
          </w:tcPr>
          <w:p w14:paraId="327BF76F" w14:textId="681D479E" w:rsidR="00C015E4" w:rsidRPr="002C6D57" w:rsidRDefault="00C015E4" w:rsidP="004A0600">
            <w:pPr>
              <w:pStyle w:val="SeminarAnnouncement"/>
              <w:jc w:val="left"/>
              <w:rPr>
                <w:rFonts w:ascii="Trajan Pro" w:hAnsi="Trajan Pro"/>
              </w:rPr>
            </w:pPr>
            <w:r w:rsidRPr="002C6D57">
              <w:rPr>
                <w:rFonts w:ascii="Trajan Pro" w:hAnsi="Trajan Pro"/>
                <w:b w:val="0"/>
              </w:rPr>
              <w:t xml:space="preserve">Seminar </w:t>
            </w:r>
            <w:r w:rsidR="00916D7C">
              <w:rPr>
                <w:rFonts w:ascii="Trajan Pro" w:hAnsi="Trajan Pro"/>
                <w:b w:val="0"/>
              </w:rPr>
              <w:t>2</w:t>
            </w:r>
            <w:r w:rsidR="009E71D5">
              <w:rPr>
                <w:rFonts w:ascii="Trajan Pro" w:hAnsi="Trajan Pro"/>
                <w:b w:val="0"/>
              </w:rPr>
              <w:t>4</w:t>
            </w:r>
            <w:r w:rsidR="000B792F">
              <w:rPr>
                <w:rFonts w:ascii="Trajan Pro" w:hAnsi="Trajan Pro"/>
                <w:b w:val="0"/>
              </w:rPr>
              <w:t>-</w:t>
            </w:r>
            <w:r w:rsidR="004A0600">
              <w:rPr>
                <w:rFonts w:ascii="Trajan Pro" w:hAnsi="Trajan Pro"/>
                <w:b w:val="0"/>
              </w:rPr>
              <w:t>0</w:t>
            </w:r>
            <w:r w:rsidR="00364FE0">
              <w:rPr>
                <w:rFonts w:ascii="Trajan Pro" w:hAnsi="Trajan Pro"/>
                <w:b w:val="0"/>
              </w:rPr>
              <w:t>7</w:t>
            </w:r>
          </w:p>
        </w:tc>
        <w:tc>
          <w:tcPr>
            <w:tcW w:w="7927" w:type="dxa"/>
            <w:shd w:val="clear" w:color="auto" w:fill="D9D9D9" w:themeFill="background1" w:themeFillShade="D9"/>
            <w:vAlign w:val="center"/>
          </w:tcPr>
          <w:p w14:paraId="58D01C43" w14:textId="77777777" w:rsidR="00EB4AD4" w:rsidRPr="002C6D57" w:rsidRDefault="00EB4AD4" w:rsidP="009E71D5">
            <w:pPr>
              <w:pStyle w:val="SeminarAnnouncement"/>
              <w:jc w:val="left"/>
              <w:rPr>
                <w:rFonts w:ascii="Trajan Pro" w:hAnsi="Trajan Pro"/>
                <w:b w:val="0"/>
              </w:rPr>
            </w:pPr>
            <w:r>
              <w:rPr>
                <w:rFonts w:ascii="Trajan Pro" w:hAnsi="Trajan Pro"/>
                <w:b w:val="0"/>
              </w:rPr>
              <w:t>MLARS</w:t>
            </w:r>
            <w:r w:rsidRPr="002C6D57">
              <w:rPr>
                <w:rFonts w:ascii="Trajan Pro" w:hAnsi="Trajan Pro"/>
                <w:b w:val="0"/>
              </w:rPr>
              <w:t xml:space="preserve"> Financial Investigations Seminar</w:t>
            </w:r>
          </w:p>
          <w:p w14:paraId="42D9265C" w14:textId="7AC0F0C9" w:rsidR="00C015E4" w:rsidRPr="002C6D57" w:rsidRDefault="00364FE0" w:rsidP="009E71D5">
            <w:pPr>
              <w:pStyle w:val="SeminarAnnouncement"/>
              <w:jc w:val="left"/>
              <w:rPr>
                <w:rFonts w:ascii="Trajan Pro" w:hAnsi="Trajan Pro"/>
                <w:b w:val="0"/>
              </w:rPr>
            </w:pPr>
            <w:r>
              <w:rPr>
                <w:rFonts w:ascii="Trajan Pro" w:hAnsi="Trajan Pro"/>
                <w:b w:val="0"/>
              </w:rPr>
              <w:t>Wichita, KS</w:t>
            </w:r>
            <w:r w:rsidR="00964B7A">
              <w:rPr>
                <w:rFonts w:ascii="Trajan Pro" w:hAnsi="Trajan Pro"/>
                <w:b w:val="0"/>
              </w:rPr>
              <w:t xml:space="preserve"> (</w:t>
            </w:r>
            <w:r>
              <w:rPr>
                <w:rFonts w:ascii="Trajan Pro" w:hAnsi="Trajan Pro"/>
                <w:b w:val="0"/>
              </w:rPr>
              <w:t>May 14-16</w:t>
            </w:r>
            <w:r w:rsidR="00964B7A">
              <w:rPr>
                <w:rFonts w:ascii="Trajan Pro" w:hAnsi="Trajan Pro"/>
                <w:b w:val="0"/>
              </w:rPr>
              <w:t>, 202</w:t>
            </w:r>
            <w:r w:rsidR="009E71D5">
              <w:rPr>
                <w:rFonts w:ascii="Trajan Pro" w:hAnsi="Trajan Pro"/>
                <w:b w:val="0"/>
              </w:rPr>
              <w:t>4</w:t>
            </w:r>
            <w:r w:rsidR="00964B7A">
              <w:rPr>
                <w:rFonts w:ascii="Trajan Pro" w:hAnsi="Trajan Pro"/>
                <w:b w:val="0"/>
              </w:rPr>
              <w:t>)</w:t>
            </w:r>
          </w:p>
        </w:tc>
      </w:tr>
      <w:tr w:rsidR="008C19DE" w:rsidRPr="00C74C2D" w14:paraId="700F2A74" w14:textId="77777777" w:rsidTr="00BD30A4">
        <w:trPr>
          <w:trHeight w:val="2250"/>
        </w:trPr>
        <w:tc>
          <w:tcPr>
            <w:tcW w:w="2873" w:type="dxa"/>
          </w:tcPr>
          <w:p w14:paraId="0CF0A6A1" w14:textId="77777777" w:rsidR="008C19DE" w:rsidRPr="002C6D57" w:rsidRDefault="008C19DE" w:rsidP="008C19DE">
            <w:pPr>
              <w:pStyle w:val="SeminarAnnouncement"/>
              <w:jc w:val="left"/>
              <w:rPr>
                <w:rFonts w:ascii="Trajan Pro" w:hAnsi="Trajan Pro"/>
              </w:rPr>
            </w:pPr>
            <w:r w:rsidRPr="002C6D57">
              <w:rPr>
                <w:rStyle w:val="CourseNameChar"/>
                <w:rFonts w:ascii="Trajan Pro" w:hAnsi="Trajan Pro"/>
              </w:rPr>
              <w:t>Seminar Descriptio</w:t>
            </w:r>
            <w:r w:rsidRPr="002C6D57">
              <w:rPr>
                <w:rFonts w:ascii="Trajan Pro" w:hAnsi="Trajan Pro"/>
              </w:rPr>
              <w:t>n</w:t>
            </w:r>
          </w:p>
          <w:p w14:paraId="07353885" w14:textId="77777777" w:rsidR="008C19DE" w:rsidRPr="002C6D57" w:rsidRDefault="008C19DE" w:rsidP="008C19DE">
            <w:pPr>
              <w:rPr>
                <w:rFonts w:ascii="Trajan Pro" w:hAnsi="Trajan Pro"/>
              </w:rPr>
            </w:pPr>
          </w:p>
        </w:tc>
        <w:tc>
          <w:tcPr>
            <w:tcW w:w="7927" w:type="dxa"/>
          </w:tcPr>
          <w:p w14:paraId="1FC60B7A" w14:textId="77777777" w:rsidR="008C19DE" w:rsidRDefault="008C19DE" w:rsidP="008C19DE">
            <w:pPr>
              <w:pStyle w:val="Agenda"/>
            </w:pPr>
            <w:r>
              <w:t xml:space="preserve">This is a basic seminar.  The objective of this seminar is to apply investigative techniques and methods to unravel the case study’s money laundering scheme, to identify assets for forfeiture, and to make charging and forfeiture decisions.  Using videos to illustrate the case study involving a drug enterprise, this practical, innovative, and interactive seminar is designed to introduce participants to financial investigations, money laundering, and asset forfeiture.  During the seminar, participants will analyze financial documents to establish links among the targets, assets, and the illegal activities.  </w:t>
            </w:r>
          </w:p>
          <w:p w14:paraId="0BB313E7" w14:textId="77777777" w:rsidR="008C19DE" w:rsidRPr="00C74C2D" w:rsidRDefault="008C19DE" w:rsidP="008C19DE">
            <w:pPr>
              <w:pStyle w:val="Agenda"/>
            </w:pPr>
          </w:p>
        </w:tc>
      </w:tr>
      <w:tr w:rsidR="008C19DE" w:rsidRPr="00C74C2D" w14:paraId="283C79A7" w14:textId="77777777" w:rsidTr="00803755">
        <w:trPr>
          <w:trHeight w:val="1062"/>
        </w:trPr>
        <w:tc>
          <w:tcPr>
            <w:tcW w:w="2873" w:type="dxa"/>
          </w:tcPr>
          <w:p w14:paraId="10DCA46C" w14:textId="77777777" w:rsidR="008C19DE" w:rsidRPr="002C6D57" w:rsidRDefault="008C19DE" w:rsidP="008C19DE">
            <w:pPr>
              <w:pStyle w:val="SeminarAnnouncement"/>
              <w:jc w:val="left"/>
              <w:rPr>
                <w:rFonts w:ascii="Trajan Pro" w:hAnsi="Trajan Pro"/>
              </w:rPr>
            </w:pPr>
            <w:r w:rsidRPr="002C6D57">
              <w:rPr>
                <w:rFonts w:ascii="Trajan Pro" w:hAnsi="Trajan Pro"/>
              </w:rPr>
              <w:t>Participant Involvement</w:t>
            </w:r>
          </w:p>
          <w:p w14:paraId="7B9C7582" w14:textId="77777777" w:rsidR="008C19DE" w:rsidRPr="002C6D57" w:rsidRDefault="008C19DE" w:rsidP="008C19DE">
            <w:pPr>
              <w:pStyle w:val="SeminarAnnouncement"/>
              <w:jc w:val="left"/>
              <w:rPr>
                <w:rStyle w:val="CourseNameChar"/>
                <w:rFonts w:ascii="Trajan Pro" w:hAnsi="Trajan Pro"/>
              </w:rPr>
            </w:pPr>
          </w:p>
        </w:tc>
        <w:tc>
          <w:tcPr>
            <w:tcW w:w="7927" w:type="dxa"/>
          </w:tcPr>
          <w:p w14:paraId="3C54F7DC" w14:textId="77777777" w:rsidR="008C19DE" w:rsidRDefault="008C19DE" w:rsidP="008C19DE">
            <w:pPr>
              <w:pStyle w:val="Agenda"/>
            </w:pPr>
            <w:r>
              <w:t xml:space="preserve">Participants will be assigned to a “task force” group and will be required to discuss the case study as a team.  Each task force member will take a turn reporting the group’s investigative results to the entire group.  Because this is an interactive seminar, participants must be present for the entire time each day.  Absence of a task force member adversely affects team work.  </w:t>
            </w:r>
          </w:p>
          <w:p w14:paraId="22B581AC" w14:textId="77777777" w:rsidR="008C19DE" w:rsidRDefault="008C19DE" w:rsidP="008C19DE">
            <w:pPr>
              <w:pStyle w:val="Agenda"/>
            </w:pPr>
          </w:p>
        </w:tc>
      </w:tr>
      <w:tr w:rsidR="008C19DE" w:rsidRPr="00C74C2D" w14:paraId="65795601" w14:textId="77777777" w:rsidTr="00BD30A4">
        <w:trPr>
          <w:trHeight w:val="4005"/>
        </w:trPr>
        <w:tc>
          <w:tcPr>
            <w:tcW w:w="2873" w:type="dxa"/>
          </w:tcPr>
          <w:p w14:paraId="3313D12A" w14:textId="77777777" w:rsidR="008C19DE" w:rsidRPr="002C6D57" w:rsidRDefault="008C19DE" w:rsidP="008C19DE">
            <w:pPr>
              <w:pStyle w:val="SeminarAnnouncement"/>
              <w:jc w:val="left"/>
              <w:rPr>
                <w:rFonts w:ascii="Trajan Pro" w:hAnsi="Trajan Pro"/>
              </w:rPr>
            </w:pPr>
            <w:r w:rsidRPr="002C6D57">
              <w:rPr>
                <w:rFonts w:ascii="Trajan Pro" w:hAnsi="Trajan Pro"/>
              </w:rPr>
              <w:t>Seminar Modules</w:t>
            </w:r>
          </w:p>
          <w:p w14:paraId="1A4BF567" w14:textId="77777777" w:rsidR="008C19DE" w:rsidRPr="002C6D57" w:rsidRDefault="008C19DE" w:rsidP="008C19DE">
            <w:pPr>
              <w:pStyle w:val="SeminarAnnouncement"/>
              <w:jc w:val="left"/>
              <w:rPr>
                <w:rFonts w:ascii="Trajan Pro" w:hAnsi="Trajan Pro"/>
              </w:rPr>
            </w:pPr>
          </w:p>
        </w:tc>
        <w:tc>
          <w:tcPr>
            <w:tcW w:w="7927" w:type="dxa"/>
          </w:tcPr>
          <w:p w14:paraId="6F122C48" w14:textId="77777777" w:rsidR="008C19DE" w:rsidRDefault="008C19DE" w:rsidP="008D5560">
            <w:pPr>
              <w:pStyle w:val="Agenda"/>
              <w:numPr>
                <w:ilvl w:val="0"/>
                <w:numId w:val="4"/>
              </w:numPr>
              <w:ind w:left="350"/>
            </w:pPr>
            <w:r>
              <w:t>Introduction to Financial Investigation</w:t>
            </w:r>
          </w:p>
          <w:p w14:paraId="2739CB61" w14:textId="77777777" w:rsidR="008C19DE" w:rsidRDefault="008C19DE" w:rsidP="008D5560">
            <w:pPr>
              <w:pStyle w:val="Agenda"/>
              <w:numPr>
                <w:ilvl w:val="0"/>
                <w:numId w:val="4"/>
              </w:numPr>
              <w:ind w:left="350"/>
            </w:pPr>
            <w:r>
              <w:t>Starting a Financial Investigation</w:t>
            </w:r>
          </w:p>
          <w:p w14:paraId="6F3C2094" w14:textId="77777777" w:rsidR="008C19DE" w:rsidRDefault="008C19DE" w:rsidP="008D5560">
            <w:pPr>
              <w:pStyle w:val="Agenda"/>
              <w:numPr>
                <w:ilvl w:val="0"/>
                <w:numId w:val="4"/>
              </w:numPr>
              <w:ind w:left="350"/>
            </w:pPr>
            <w:r>
              <w:t>B</w:t>
            </w:r>
            <w:r w:rsidR="00746C97">
              <w:t>ank Secrecy Act</w:t>
            </w:r>
            <w:r>
              <w:t xml:space="preserve"> Reporting Requirements</w:t>
            </w:r>
          </w:p>
          <w:p w14:paraId="70BAAD85" w14:textId="77777777" w:rsidR="008C19DE" w:rsidRDefault="008C19DE" w:rsidP="008D5560">
            <w:pPr>
              <w:pStyle w:val="Agenda"/>
              <w:numPr>
                <w:ilvl w:val="0"/>
                <w:numId w:val="4"/>
              </w:numPr>
              <w:ind w:left="350"/>
            </w:pPr>
            <w:r>
              <w:t>Organizing a Financial Investigation</w:t>
            </w:r>
          </w:p>
          <w:p w14:paraId="449FCCEA" w14:textId="77777777" w:rsidR="008C19DE" w:rsidRDefault="008C19DE" w:rsidP="008D5560">
            <w:pPr>
              <w:pStyle w:val="Agenda"/>
              <w:numPr>
                <w:ilvl w:val="0"/>
                <w:numId w:val="4"/>
              </w:numPr>
              <w:ind w:left="350"/>
            </w:pPr>
            <w:r>
              <w:t>Obtaining and Analyzing Bank Documents</w:t>
            </w:r>
          </w:p>
          <w:p w14:paraId="418501C0" w14:textId="77777777" w:rsidR="008C19DE" w:rsidRDefault="008C19DE" w:rsidP="008D5560">
            <w:pPr>
              <w:pStyle w:val="Agenda"/>
              <w:numPr>
                <w:ilvl w:val="0"/>
                <w:numId w:val="4"/>
              </w:numPr>
              <w:ind w:left="350"/>
            </w:pPr>
            <w:r>
              <w:t>Money Laundering Statutes</w:t>
            </w:r>
          </w:p>
          <w:p w14:paraId="26A10D4D" w14:textId="77777777" w:rsidR="008C19DE" w:rsidRDefault="008C19DE" w:rsidP="008D5560">
            <w:pPr>
              <w:pStyle w:val="Agenda"/>
              <w:numPr>
                <w:ilvl w:val="0"/>
                <w:numId w:val="4"/>
              </w:numPr>
              <w:ind w:left="350"/>
            </w:pPr>
            <w:r>
              <w:t>Identifying Assets for Forfeiture</w:t>
            </w:r>
          </w:p>
          <w:p w14:paraId="0B8801B1" w14:textId="77777777" w:rsidR="008C19DE" w:rsidRDefault="008C19DE" w:rsidP="008D5560">
            <w:pPr>
              <w:pStyle w:val="Agenda"/>
              <w:numPr>
                <w:ilvl w:val="0"/>
                <w:numId w:val="4"/>
              </w:numPr>
              <w:ind w:left="350"/>
            </w:pPr>
            <w:r>
              <w:t>Evaluating and Seizing Assets</w:t>
            </w:r>
          </w:p>
          <w:p w14:paraId="7BB5980C" w14:textId="77777777" w:rsidR="008C19DE" w:rsidRDefault="008C19DE" w:rsidP="008D5560">
            <w:pPr>
              <w:pStyle w:val="Agenda"/>
              <w:numPr>
                <w:ilvl w:val="0"/>
                <w:numId w:val="4"/>
              </w:numPr>
              <w:ind w:left="350"/>
            </w:pPr>
            <w:r>
              <w:t>Proving Unexplained Income</w:t>
            </w:r>
          </w:p>
          <w:p w14:paraId="0096FFC5" w14:textId="77777777" w:rsidR="008C19DE" w:rsidRDefault="008C19DE" w:rsidP="008D5560">
            <w:pPr>
              <w:pStyle w:val="Agenda"/>
              <w:numPr>
                <w:ilvl w:val="0"/>
                <w:numId w:val="4"/>
              </w:numPr>
              <w:ind w:left="350"/>
            </w:pPr>
            <w:r>
              <w:t>Analyzing Tax Records</w:t>
            </w:r>
          </w:p>
          <w:p w14:paraId="3BDEE256" w14:textId="77777777" w:rsidR="008C19DE" w:rsidRDefault="008C19DE" w:rsidP="008D5560">
            <w:pPr>
              <w:pStyle w:val="Agenda"/>
              <w:numPr>
                <w:ilvl w:val="0"/>
                <w:numId w:val="4"/>
              </w:numPr>
              <w:ind w:left="350"/>
            </w:pPr>
            <w:r>
              <w:t>Creating a Money Flow Chart</w:t>
            </w:r>
          </w:p>
          <w:p w14:paraId="709DD8CE" w14:textId="77777777" w:rsidR="008C19DE" w:rsidRDefault="008C19DE" w:rsidP="008D5560">
            <w:pPr>
              <w:pStyle w:val="Agenda"/>
              <w:numPr>
                <w:ilvl w:val="0"/>
                <w:numId w:val="4"/>
              </w:numPr>
              <w:ind w:left="350"/>
            </w:pPr>
            <w:r>
              <w:t>Seizing and Freezing Foreign-Based Assets</w:t>
            </w:r>
          </w:p>
          <w:p w14:paraId="72933ACA" w14:textId="77777777" w:rsidR="008C19DE" w:rsidRDefault="008C19DE" w:rsidP="008D5560">
            <w:pPr>
              <w:pStyle w:val="Agenda"/>
              <w:numPr>
                <w:ilvl w:val="0"/>
                <w:numId w:val="4"/>
              </w:numPr>
              <w:ind w:left="350"/>
            </w:pPr>
            <w:r>
              <w:t>Anticipating Challenges to Forfeiture</w:t>
            </w:r>
          </w:p>
          <w:p w14:paraId="15433D37" w14:textId="77777777" w:rsidR="008C19DE" w:rsidRDefault="008C19DE" w:rsidP="008D5560">
            <w:pPr>
              <w:pStyle w:val="Agenda"/>
              <w:numPr>
                <w:ilvl w:val="0"/>
                <w:numId w:val="4"/>
              </w:numPr>
              <w:ind w:left="350"/>
            </w:pPr>
            <w:r>
              <w:t>Money Laundering and Asset Forfeiture Charging Decisions</w:t>
            </w:r>
          </w:p>
          <w:p w14:paraId="4F9014C3" w14:textId="77777777" w:rsidR="008C19DE" w:rsidRDefault="008C19DE" w:rsidP="008C19DE">
            <w:pPr>
              <w:pStyle w:val="Agenda"/>
            </w:pPr>
          </w:p>
        </w:tc>
      </w:tr>
      <w:tr w:rsidR="008C19DE" w:rsidRPr="00C74C2D" w14:paraId="79B703AC" w14:textId="77777777" w:rsidTr="00BD30A4">
        <w:trPr>
          <w:trHeight w:val="873"/>
        </w:trPr>
        <w:tc>
          <w:tcPr>
            <w:tcW w:w="2873" w:type="dxa"/>
          </w:tcPr>
          <w:p w14:paraId="7AE5440B" w14:textId="77777777" w:rsidR="008C19DE" w:rsidRPr="002C6D57" w:rsidRDefault="008C19DE" w:rsidP="008C19DE">
            <w:pPr>
              <w:pStyle w:val="SeminarAnnouncement"/>
              <w:jc w:val="left"/>
              <w:rPr>
                <w:rFonts w:ascii="Trajan Pro" w:hAnsi="Trajan Pro"/>
              </w:rPr>
            </w:pPr>
            <w:r w:rsidRPr="002C6D57">
              <w:rPr>
                <w:rFonts w:ascii="Trajan Pro" w:hAnsi="Trajan Pro"/>
              </w:rPr>
              <w:t>Seminar Objectives</w:t>
            </w:r>
            <w:r w:rsidRPr="002C6D57">
              <w:rPr>
                <w:rFonts w:ascii="Trajan Pro" w:hAnsi="Trajan Pro"/>
              </w:rPr>
              <w:tab/>
            </w:r>
            <w:r w:rsidRPr="002C6D57">
              <w:rPr>
                <w:rFonts w:ascii="Trajan Pro" w:hAnsi="Trajan Pro"/>
              </w:rPr>
              <w:tab/>
            </w:r>
          </w:p>
          <w:p w14:paraId="4870587A" w14:textId="77777777" w:rsidR="00235A9F" w:rsidRDefault="00235A9F" w:rsidP="00235A9F">
            <w:pPr>
              <w:jc w:val="center"/>
            </w:pPr>
          </w:p>
          <w:p w14:paraId="18FF0B2D" w14:textId="77777777" w:rsidR="00235A9F" w:rsidRPr="00235A9F" w:rsidRDefault="00235A9F" w:rsidP="00235A9F">
            <w:pPr>
              <w:jc w:val="center"/>
            </w:pPr>
          </w:p>
        </w:tc>
        <w:tc>
          <w:tcPr>
            <w:tcW w:w="7927" w:type="dxa"/>
          </w:tcPr>
          <w:p w14:paraId="0B5C826F" w14:textId="77777777" w:rsidR="008C19DE" w:rsidRPr="00C217A6" w:rsidRDefault="008C19DE" w:rsidP="00BD30A4">
            <w:pPr>
              <w:pStyle w:val="Agenda"/>
              <w:numPr>
                <w:ilvl w:val="0"/>
                <w:numId w:val="6"/>
              </w:numPr>
              <w:ind w:left="349"/>
            </w:pPr>
            <w:r w:rsidRPr="00C217A6">
              <w:t>Conduct a financial investigation</w:t>
            </w:r>
          </w:p>
          <w:p w14:paraId="7704A1EE" w14:textId="77777777" w:rsidR="008C19DE" w:rsidRPr="00C217A6" w:rsidRDefault="008C19DE" w:rsidP="00BD30A4">
            <w:pPr>
              <w:pStyle w:val="Agenda"/>
              <w:numPr>
                <w:ilvl w:val="0"/>
                <w:numId w:val="6"/>
              </w:numPr>
              <w:ind w:left="349"/>
            </w:pPr>
            <w:r w:rsidRPr="00C217A6">
              <w:t>Identify assets for seizure and forfeiture</w:t>
            </w:r>
          </w:p>
          <w:p w14:paraId="07C51DDA" w14:textId="77777777" w:rsidR="008C19DE" w:rsidRPr="00C217A6" w:rsidRDefault="008C19DE" w:rsidP="00BD30A4">
            <w:pPr>
              <w:pStyle w:val="Agenda"/>
              <w:numPr>
                <w:ilvl w:val="0"/>
                <w:numId w:val="6"/>
              </w:numPr>
              <w:ind w:left="349"/>
            </w:pPr>
            <w:r w:rsidRPr="00C217A6">
              <w:t>Identify money laundering offenses</w:t>
            </w:r>
          </w:p>
          <w:p w14:paraId="3016E75F" w14:textId="77777777" w:rsidR="00235A9F" w:rsidRDefault="00235A9F" w:rsidP="008C19DE">
            <w:pPr>
              <w:pStyle w:val="Agenda"/>
            </w:pPr>
          </w:p>
        </w:tc>
      </w:tr>
    </w:tbl>
    <w:p w14:paraId="7D14C75B" w14:textId="77777777" w:rsidR="00AB4EA3" w:rsidRDefault="00AB4EA3" w:rsidP="00746C97">
      <w:pPr>
        <w:pStyle w:val="SeminarAnnouncement"/>
        <w:jc w:val="left"/>
        <w:rPr>
          <w:rStyle w:val="CourseNameChar"/>
        </w:rPr>
      </w:pPr>
    </w:p>
    <w:p w14:paraId="2130E13A" w14:textId="77777777" w:rsidR="00AB4EA3" w:rsidRDefault="00AB4EA3">
      <w:pPr>
        <w:rPr>
          <w:rStyle w:val="CourseNameChar"/>
          <w:rFonts w:ascii="Tekton Pro Ext" w:hAnsi="Tekton Pro Ext"/>
          <w:b w:val="0"/>
          <w:color w:val="808080" w:themeColor="background1" w:themeShade="80"/>
        </w:rPr>
      </w:pPr>
    </w:p>
    <w:p w14:paraId="6B3D2896" w14:textId="77777777" w:rsidR="00BD30A4" w:rsidRDefault="00803755" w:rsidP="00EB4AD4">
      <w:pPr>
        <w:pStyle w:val="SeminarAnnouncement"/>
        <w:tabs>
          <w:tab w:val="left" w:pos="3675"/>
          <w:tab w:val="center" w:pos="5400"/>
        </w:tabs>
        <w:jc w:val="left"/>
        <w:rPr>
          <w:rFonts w:cs="Arial"/>
        </w:rPr>
      </w:pPr>
      <w:r w:rsidRPr="002C0D0F">
        <w:rPr>
          <w:rFonts w:ascii="Trajan Pro" w:hAnsi="Trajan Pro"/>
          <w:color w:val="000000" w:themeColor="text1"/>
          <w:sz w:val="32"/>
          <w:szCs w:val="32"/>
        </w:rPr>
        <w:tab/>
      </w:r>
    </w:p>
    <w:sectPr w:rsidR="00BD30A4" w:rsidSect="00FE2233">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87EAC" w14:textId="77777777" w:rsidR="005B1135" w:rsidRDefault="005B1135" w:rsidP="00E611DD">
      <w:r>
        <w:separator/>
      </w:r>
    </w:p>
  </w:endnote>
  <w:endnote w:type="continuationSeparator" w:id="0">
    <w:p w14:paraId="4A95F6CB" w14:textId="77777777" w:rsidR="005B1135" w:rsidRDefault="005B1135" w:rsidP="00E6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ekton Pro Ext">
    <w:altName w:val="Arial"/>
    <w:panose1 w:val="00000000000000000000"/>
    <w:charset w:val="00"/>
    <w:family w:val="swiss"/>
    <w:notTrueType/>
    <w:pitch w:val="variable"/>
    <w:sig w:usb0="00000001"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EDA6D" w14:textId="77FE3413" w:rsidR="00EB4AD4" w:rsidRPr="00DA1B70" w:rsidRDefault="00EB4AD4" w:rsidP="00EB4AD4">
    <w:pPr>
      <w:pStyle w:val="SeminarAnnouncement"/>
      <w:rPr>
        <w:rFonts w:ascii="Trajan Pro" w:hAnsi="Trajan Pro"/>
        <w:sz w:val="20"/>
        <w:szCs w:val="20"/>
      </w:rPr>
    </w:pPr>
    <w:r>
      <w:rPr>
        <w:rFonts w:ascii="Trajan Pro" w:hAnsi="Trajan Pro"/>
        <w:sz w:val="20"/>
        <w:szCs w:val="20"/>
      </w:rPr>
      <w:t>MLARS</w:t>
    </w:r>
    <w:r w:rsidRPr="002C6D57">
      <w:rPr>
        <w:rFonts w:ascii="Trajan Pro" w:hAnsi="Trajan Pro"/>
        <w:sz w:val="20"/>
        <w:szCs w:val="20"/>
      </w:rPr>
      <w:t xml:space="preserve"> Financial Investigations Seminar (</w:t>
    </w:r>
    <w:r w:rsidR="00E55243">
      <w:rPr>
        <w:rFonts w:ascii="Trajan Pro" w:hAnsi="Trajan Pro"/>
        <w:sz w:val="20"/>
        <w:szCs w:val="20"/>
      </w:rPr>
      <w:t>Wichita, KS</w:t>
    </w:r>
    <w:r w:rsidRPr="002C6D57">
      <w:rPr>
        <w:rFonts w:ascii="Trajan Pro" w:hAnsi="Trajan Pro"/>
        <w:sz w:val="20"/>
        <w:szCs w:val="20"/>
      </w:rPr>
      <w:t xml:space="preserve"> – </w:t>
    </w:r>
    <w:r w:rsidR="00E55243">
      <w:rPr>
        <w:rFonts w:ascii="Trajan Pro" w:hAnsi="Trajan Pro"/>
        <w:sz w:val="20"/>
        <w:szCs w:val="20"/>
      </w:rPr>
      <w:t xml:space="preserve">May </w:t>
    </w:r>
    <w:r w:rsidR="00373E57">
      <w:rPr>
        <w:rFonts w:ascii="Trajan Pro" w:hAnsi="Trajan Pro"/>
        <w:sz w:val="20"/>
        <w:szCs w:val="20"/>
      </w:rPr>
      <w:t>14-16</w:t>
    </w:r>
    <w:r>
      <w:rPr>
        <w:rFonts w:ascii="Trajan Pro" w:hAnsi="Trajan Pro"/>
        <w:sz w:val="20"/>
        <w:szCs w:val="20"/>
      </w:rPr>
      <w:t>,</w:t>
    </w:r>
    <w:r w:rsidR="000E04B5">
      <w:rPr>
        <w:rFonts w:ascii="Trajan Pro" w:hAnsi="Trajan Pro"/>
        <w:sz w:val="20"/>
        <w:szCs w:val="20"/>
      </w:rPr>
      <w:t xml:space="preserve"> 202</w:t>
    </w:r>
    <w:r w:rsidR="00050CA8">
      <w:rPr>
        <w:rFonts w:ascii="Trajan Pro" w:hAnsi="Trajan Pro"/>
        <w:sz w:val="20"/>
        <w:szCs w:val="20"/>
      </w:rPr>
      <w:t>4</w:t>
    </w:r>
    <w:r w:rsidRPr="002C6D57">
      <w:rPr>
        <w:rFonts w:ascii="Trajan Pro" w:hAnsi="Trajan Pro"/>
        <w:sz w:val="20"/>
        <w:szCs w:val="20"/>
      </w:rPr>
      <w:t>)</w:t>
    </w:r>
  </w:p>
  <w:p w14:paraId="3CFE7059" w14:textId="77777777" w:rsidR="001F0EC4" w:rsidRDefault="001F0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305ED" w14:textId="77777777" w:rsidR="005B1135" w:rsidRDefault="005B1135" w:rsidP="00E611DD">
      <w:r>
        <w:separator/>
      </w:r>
    </w:p>
  </w:footnote>
  <w:footnote w:type="continuationSeparator" w:id="0">
    <w:p w14:paraId="5702B0B0" w14:textId="77777777" w:rsidR="005B1135" w:rsidRDefault="005B1135" w:rsidP="00E61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5357"/>
    <w:multiLevelType w:val="hybridMultilevel"/>
    <w:tmpl w:val="D54C6506"/>
    <w:lvl w:ilvl="0" w:tplc="2C040194">
      <w:start w:val="1"/>
      <w:numFmt w:val="bullet"/>
      <w:lvlText w:val="•"/>
      <w:lvlJc w:val="left"/>
      <w:pPr>
        <w:ind w:left="720" w:hanging="360"/>
      </w:pPr>
      <w:rPr>
        <w:rFonts w:ascii="Calibri" w:hAnsi="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8318C"/>
    <w:multiLevelType w:val="hybridMultilevel"/>
    <w:tmpl w:val="F69A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D63B7D"/>
    <w:multiLevelType w:val="hybridMultilevel"/>
    <w:tmpl w:val="F9EA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2664D"/>
    <w:multiLevelType w:val="multilevel"/>
    <w:tmpl w:val="B98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2B2E6A"/>
    <w:multiLevelType w:val="hybridMultilevel"/>
    <w:tmpl w:val="B67061D2"/>
    <w:lvl w:ilvl="0" w:tplc="2C040194">
      <w:start w:val="1"/>
      <w:numFmt w:val="bullet"/>
      <w:lvlText w:val="•"/>
      <w:lvlJc w:val="left"/>
      <w:pPr>
        <w:ind w:left="720" w:hanging="360"/>
      </w:pPr>
      <w:rPr>
        <w:rFonts w:ascii="Calibri" w:hAnsi="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701E84"/>
    <w:multiLevelType w:val="multilevel"/>
    <w:tmpl w:val="3398C042"/>
    <w:lvl w:ilvl="0">
      <w:start w:val="1"/>
      <w:numFmt w:val="bullet"/>
      <w:pStyle w:val="StyleBulleted"/>
      <w:lvlText w:val=""/>
      <w:lvlJc w:val="left"/>
      <w:pPr>
        <w:tabs>
          <w:tab w:val="num" w:pos="1800"/>
        </w:tabs>
        <w:ind w:left="1800" w:hanging="360"/>
      </w:pPr>
      <w:rPr>
        <w:rFonts w:ascii="Symbol" w:hAnsi="Symbol" w:hint="default"/>
      </w:rPr>
    </w:lvl>
    <w:lvl w:ilvl="1">
      <w:start w:val="1"/>
      <w:numFmt w:val="bullet"/>
      <w:lvlText w:val="-"/>
      <w:lvlJc w:val="left"/>
      <w:pPr>
        <w:tabs>
          <w:tab w:val="num" w:pos="2160"/>
        </w:tabs>
        <w:ind w:left="2160" w:hanging="360"/>
      </w:pPr>
      <w:rPr>
        <w:rFonts w:ascii="Courier New" w:hAnsi="Courier New" w:hint="default"/>
        <w:sz w:val="24"/>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97F"/>
    <w:rsid w:val="00015D00"/>
    <w:rsid w:val="000218C4"/>
    <w:rsid w:val="00021BFD"/>
    <w:rsid w:val="00042B32"/>
    <w:rsid w:val="00046B69"/>
    <w:rsid w:val="00050CA8"/>
    <w:rsid w:val="00063485"/>
    <w:rsid w:val="00072B91"/>
    <w:rsid w:val="00075921"/>
    <w:rsid w:val="00093034"/>
    <w:rsid w:val="00094CAA"/>
    <w:rsid w:val="000A1EC7"/>
    <w:rsid w:val="000A4F51"/>
    <w:rsid w:val="000B54AE"/>
    <w:rsid w:val="000B792F"/>
    <w:rsid w:val="000C71E5"/>
    <w:rsid w:val="000D1B36"/>
    <w:rsid w:val="000D1EFF"/>
    <w:rsid w:val="000D7684"/>
    <w:rsid w:val="000E04B5"/>
    <w:rsid w:val="000E4C62"/>
    <w:rsid w:val="000E6DA0"/>
    <w:rsid w:val="000F2AFC"/>
    <w:rsid w:val="00112822"/>
    <w:rsid w:val="00117735"/>
    <w:rsid w:val="00120843"/>
    <w:rsid w:val="0012718C"/>
    <w:rsid w:val="0013314B"/>
    <w:rsid w:val="00144B8D"/>
    <w:rsid w:val="00146AF3"/>
    <w:rsid w:val="001473ED"/>
    <w:rsid w:val="0016125A"/>
    <w:rsid w:val="00163A42"/>
    <w:rsid w:val="00192090"/>
    <w:rsid w:val="001928D0"/>
    <w:rsid w:val="001941F5"/>
    <w:rsid w:val="001A16D1"/>
    <w:rsid w:val="001A2A3B"/>
    <w:rsid w:val="001A2E42"/>
    <w:rsid w:val="001A7C28"/>
    <w:rsid w:val="001C5E71"/>
    <w:rsid w:val="001F0EC4"/>
    <w:rsid w:val="00220A56"/>
    <w:rsid w:val="00222E2D"/>
    <w:rsid w:val="0022646E"/>
    <w:rsid w:val="00235A9F"/>
    <w:rsid w:val="0025497F"/>
    <w:rsid w:val="0026008E"/>
    <w:rsid w:val="002749BD"/>
    <w:rsid w:val="00283E97"/>
    <w:rsid w:val="0028442C"/>
    <w:rsid w:val="00291785"/>
    <w:rsid w:val="002A4BB6"/>
    <w:rsid w:val="002A6473"/>
    <w:rsid w:val="002B0E46"/>
    <w:rsid w:val="002C0D0F"/>
    <w:rsid w:val="002C6D57"/>
    <w:rsid w:val="002D0B09"/>
    <w:rsid w:val="002D285F"/>
    <w:rsid w:val="002D4D2F"/>
    <w:rsid w:val="002E3A6D"/>
    <w:rsid w:val="002E7D65"/>
    <w:rsid w:val="002E7DFE"/>
    <w:rsid w:val="002F41B9"/>
    <w:rsid w:val="0030391D"/>
    <w:rsid w:val="00312D3E"/>
    <w:rsid w:val="00316D9A"/>
    <w:rsid w:val="00360131"/>
    <w:rsid w:val="00364FE0"/>
    <w:rsid w:val="00373E57"/>
    <w:rsid w:val="003835D7"/>
    <w:rsid w:val="003863ED"/>
    <w:rsid w:val="00390EFC"/>
    <w:rsid w:val="003A0A07"/>
    <w:rsid w:val="003A0A63"/>
    <w:rsid w:val="003A0CFA"/>
    <w:rsid w:val="003B5445"/>
    <w:rsid w:val="003B5A9B"/>
    <w:rsid w:val="003C1294"/>
    <w:rsid w:val="003C24B1"/>
    <w:rsid w:val="003C49CA"/>
    <w:rsid w:val="003D0AD4"/>
    <w:rsid w:val="003D2BD8"/>
    <w:rsid w:val="003E13FD"/>
    <w:rsid w:val="003E722C"/>
    <w:rsid w:val="00417224"/>
    <w:rsid w:val="00425814"/>
    <w:rsid w:val="00431EC6"/>
    <w:rsid w:val="004515D6"/>
    <w:rsid w:val="00453764"/>
    <w:rsid w:val="004553F8"/>
    <w:rsid w:val="00456CA1"/>
    <w:rsid w:val="004663A0"/>
    <w:rsid w:val="00466944"/>
    <w:rsid w:val="00470008"/>
    <w:rsid w:val="00471E11"/>
    <w:rsid w:val="00473A03"/>
    <w:rsid w:val="00482858"/>
    <w:rsid w:val="00487D14"/>
    <w:rsid w:val="004A0600"/>
    <w:rsid w:val="004B15FB"/>
    <w:rsid w:val="004B4BFF"/>
    <w:rsid w:val="004C5441"/>
    <w:rsid w:val="004D2CD7"/>
    <w:rsid w:val="004D395E"/>
    <w:rsid w:val="00524159"/>
    <w:rsid w:val="00527275"/>
    <w:rsid w:val="00534741"/>
    <w:rsid w:val="005459CB"/>
    <w:rsid w:val="00550222"/>
    <w:rsid w:val="005508F8"/>
    <w:rsid w:val="00553496"/>
    <w:rsid w:val="005603B4"/>
    <w:rsid w:val="00566DF8"/>
    <w:rsid w:val="005678B3"/>
    <w:rsid w:val="00573A6F"/>
    <w:rsid w:val="00574C76"/>
    <w:rsid w:val="00574DF7"/>
    <w:rsid w:val="00585045"/>
    <w:rsid w:val="00586F42"/>
    <w:rsid w:val="0059521C"/>
    <w:rsid w:val="005A29A8"/>
    <w:rsid w:val="005A6EF2"/>
    <w:rsid w:val="005B1135"/>
    <w:rsid w:val="005B595F"/>
    <w:rsid w:val="005C20EA"/>
    <w:rsid w:val="006013C2"/>
    <w:rsid w:val="006307E1"/>
    <w:rsid w:val="006514F2"/>
    <w:rsid w:val="006608E4"/>
    <w:rsid w:val="00666C6F"/>
    <w:rsid w:val="006676C9"/>
    <w:rsid w:val="00681CAF"/>
    <w:rsid w:val="006B3A60"/>
    <w:rsid w:val="006C7931"/>
    <w:rsid w:val="006F06DF"/>
    <w:rsid w:val="006F274F"/>
    <w:rsid w:val="00732070"/>
    <w:rsid w:val="00737DDE"/>
    <w:rsid w:val="00746C97"/>
    <w:rsid w:val="00757DF6"/>
    <w:rsid w:val="00766818"/>
    <w:rsid w:val="00774C6F"/>
    <w:rsid w:val="007861B7"/>
    <w:rsid w:val="007924C0"/>
    <w:rsid w:val="007A59E3"/>
    <w:rsid w:val="007B79FB"/>
    <w:rsid w:val="007C2924"/>
    <w:rsid w:val="007C34F0"/>
    <w:rsid w:val="007E5BAF"/>
    <w:rsid w:val="007F37D1"/>
    <w:rsid w:val="007F6AF3"/>
    <w:rsid w:val="00802ECB"/>
    <w:rsid w:val="00803755"/>
    <w:rsid w:val="00815A7D"/>
    <w:rsid w:val="008175B5"/>
    <w:rsid w:val="008230DC"/>
    <w:rsid w:val="00827F5E"/>
    <w:rsid w:val="008868BB"/>
    <w:rsid w:val="008A6DF0"/>
    <w:rsid w:val="008B378C"/>
    <w:rsid w:val="008C19DE"/>
    <w:rsid w:val="008D3E67"/>
    <w:rsid w:val="008D5560"/>
    <w:rsid w:val="008F1159"/>
    <w:rsid w:val="00905BEF"/>
    <w:rsid w:val="00913E63"/>
    <w:rsid w:val="00916D7C"/>
    <w:rsid w:val="00924B95"/>
    <w:rsid w:val="00941054"/>
    <w:rsid w:val="00942365"/>
    <w:rsid w:val="00964B7A"/>
    <w:rsid w:val="00972C23"/>
    <w:rsid w:val="0097457B"/>
    <w:rsid w:val="00974CD8"/>
    <w:rsid w:val="009824BD"/>
    <w:rsid w:val="009A116B"/>
    <w:rsid w:val="009B3752"/>
    <w:rsid w:val="009C4F80"/>
    <w:rsid w:val="009C5E60"/>
    <w:rsid w:val="009D49FC"/>
    <w:rsid w:val="009E3380"/>
    <w:rsid w:val="009E5954"/>
    <w:rsid w:val="009E71D5"/>
    <w:rsid w:val="009E796C"/>
    <w:rsid w:val="009F2598"/>
    <w:rsid w:val="00A01A03"/>
    <w:rsid w:val="00A0417B"/>
    <w:rsid w:val="00A71A21"/>
    <w:rsid w:val="00A7289B"/>
    <w:rsid w:val="00A817A3"/>
    <w:rsid w:val="00A87235"/>
    <w:rsid w:val="00AA4617"/>
    <w:rsid w:val="00AA5EA1"/>
    <w:rsid w:val="00AA60B9"/>
    <w:rsid w:val="00AB4EA3"/>
    <w:rsid w:val="00AB728A"/>
    <w:rsid w:val="00AF0B3A"/>
    <w:rsid w:val="00B03A49"/>
    <w:rsid w:val="00B36C06"/>
    <w:rsid w:val="00B56364"/>
    <w:rsid w:val="00B72227"/>
    <w:rsid w:val="00B74BA9"/>
    <w:rsid w:val="00B9104A"/>
    <w:rsid w:val="00B95A7F"/>
    <w:rsid w:val="00B9765B"/>
    <w:rsid w:val="00BA1D47"/>
    <w:rsid w:val="00BC0BAC"/>
    <w:rsid w:val="00BC1509"/>
    <w:rsid w:val="00BD30A4"/>
    <w:rsid w:val="00BE33C5"/>
    <w:rsid w:val="00C015E4"/>
    <w:rsid w:val="00C07763"/>
    <w:rsid w:val="00C15931"/>
    <w:rsid w:val="00C37D7B"/>
    <w:rsid w:val="00C652CD"/>
    <w:rsid w:val="00C74C2D"/>
    <w:rsid w:val="00C92AB7"/>
    <w:rsid w:val="00C967F9"/>
    <w:rsid w:val="00C97E8D"/>
    <w:rsid w:val="00CD0DE9"/>
    <w:rsid w:val="00CE0E8E"/>
    <w:rsid w:val="00CE4ECB"/>
    <w:rsid w:val="00CE5450"/>
    <w:rsid w:val="00CF0734"/>
    <w:rsid w:val="00CF51E6"/>
    <w:rsid w:val="00D35AC9"/>
    <w:rsid w:val="00D61C43"/>
    <w:rsid w:val="00D66844"/>
    <w:rsid w:val="00D74C0F"/>
    <w:rsid w:val="00D8189F"/>
    <w:rsid w:val="00D86614"/>
    <w:rsid w:val="00D96251"/>
    <w:rsid w:val="00DB149F"/>
    <w:rsid w:val="00DC3EB4"/>
    <w:rsid w:val="00DC4372"/>
    <w:rsid w:val="00DC78C1"/>
    <w:rsid w:val="00DC79D0"/>
    <w:rsid w:val="00DD2BD1"/>
    <w:rsid w:val="00DD4CCC"/>
    <w:rsid w:val="00DD7E7B"/>
    <w:rsid w:val="00DE5F39"/>
    <w:rsid w:val="00DF087E"/>
    <w:rsid w:val="00DF49A1"/>
    <w:rsid w:val="00E00B02"/>
    <w:rsid w:val="00E0196A"/>
    <w:rsid w:val="00E05FBD"/>
    <w:rsid w:val="00E06874"/>
    <w:rsid w:val="00E21EFE"/>
    <w:rsid w:val="00E357F8"/>
    <w:rsid w:val="00E4363E"/>
    <w:rsid w:val="00E43DAF"/>
    <w:rsid w:val="00E511F7"/>
    <w:rsid w:val="00E55243"/>
    <w:rsid w:val="00E611DD"/>
    <w:rsid w:val="00E64300"/>
    <w:rsid w:val="00E703E3"/>
    <w:rsid w:val="00E70B45"/>
    <w:rsid w:val="00E74C58"/>
    <w:rsid w:val="00E817CD"/>
    <w:rsid w:val="00E836EF"/>
    <w:rsid w:val="00E83EA4"/>
    <w:rsid w:val="00E844EF"/>
    <w:rsid w:val="00E87F57"/>
    <w:rsid w:val="00E9349D"/>
    <w:rsid w:val="00EA12B1"/>
    <w:rsid w:val="00EB2B1D"/>
    <w:rsid w:val="00EB4AD4"/>
    <w:rsid w:val="00EB7547"/>
    <w:rsid w:val="00EC578C"/>
    <w:rsid w:val="00EE7D2E"/>
    <w:rsid w:val="00F00A91"/>
    <w:rsid w:val="00F00E6F"/>
    <w:rsid w:val="00F272F6"/>
    <w:rsid w:val="00F30B73"/>
    <w:rsid w:val="00F35EDD"/>
    <w:rsid w:val="00F372EC"/>
    <w:rsid w:val="00F460FE"/>
    <w:rsid w:val="00F54152"/>
    <w:rsid w:val="00F564F3"/>
    <w:rsid w:val="00F84B78"/>
    <w:rsid w:val="00F91878"/>
    <w:rsid w:val="00F93EB2"/>
    <w:rsid w:val="00F945E9"/>
    <w:rsid w:val="00FA4766"/>
    <w:rsid w:val="00FA5377"/>
    <w:rsid w:val="00FB51A3"/>
    <w:rsid w:val="00FC317D"/>
    <w:rsid w:val="00FC4DE3"/>
    <w:rsid w:val="00FD0449"/>
    <w:rsid w:val="00FE2233"/>
    <w:rsid w:val="00FE6E0A"/>
    <w:rsid w:val="00FF16D9"/>
    <w:rsid w:val="00FF577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D5591"/>
  <w15:docId w15:val="{81782CBC-446A-470A-8FCD-7127607B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97F"/>
    <w:rPr>
      <w:rFonts w:ascii="Tahoma" w:hAnsi="Tahoma" w:cs="Tahoma"/>
      <w:sz w:val="16"/>
      <w:szCs w:val="16"/>
    </w:rPr>
  </w:style>
  <w:style w:type="character" w:customStyle="1" w:styleId="BalloonTextChar">
    <w:name w:val="Balloon Text Char"/>
    <w:basedOn w:val="DefaultParagraphFont"/>
    <w:link w:val="BalloonText"/>
    <w:uiPriority w:val="99"/>
    <w:semiHidden/>
    <w:rsid w:val="0025497F"/>
    <w:rPr>
      <w:rFonts w:ascii="Tahoma" w:hAnsi="Tahoma" w:cs="Tahoma"/>
      <w:sz w:val="16"/>
      <w:szCs w:val="16"/>
    </w:rPr>
  </w:style>
  <w:style w:type="paragraph" w:styleId="NoSpacing">
    <w:name w:val="No Spacing"/>
    <w:link w:val="NoSpacingChar"/>
    <w:qFormat/>
    <w:rsid w:val="00E357F8"/>
    <w:rPr>
      <w:rFonts w:ascii="Calibri" w:eastAsia="Times New Roman" w:hAnsi="Calibri" w:cs="Times New Roman"/>
    </w:rPr>
  </w:style>
  <w:style w:type="character" w:customStyle="1" w:styleId="NoSpacingChar">
    <w:name w:val="No Spacing Char"/>
    <w:basedOn w:val="DefaultParagraphFont"/>
    <w:link w:val="NoSpacing"/>
    <w:rsid w:val="00E357F8"/>
    <w:rPr>
      <w:rFonts w:ascii="Calibri" w:eastAsia="Times New Roman" w:hAnsi="Calibri" w:cs="Times New Roman"/>
    </w:rPr>
  </w:style>
  <w:style w:type="table" w:styleId="TableGrid">
    <w:name w:val="Table Grid"/>
    <w:basedOn w:val="TableNormal"/>
    <w:uiPriority w:val="59"/>
    <w:rsid w:val="00312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s">
    <w:name w:val="Names"/>
    <w:basedOn w:val="Normal"/>
    <w:qFormat/>
    <w:rsid w:val="002D4D2F"/>
    <w:rPr>
      <w:rFonts w:asciiTheme="majorHAnsi" w:hAnsiTheme="majorHAnsi"/>
      <w:b/>
    </w:rPr>
  </w:style>
  <w:style w:type="paragraph" w:customStyle="1" w:styleId="Agenda">
    <w:name w:val="Agenda"/>
    <w:basedOn w:val="Normal"/>
    <w:qFormat/>
    <w:rsid w:val="00AB728A"/>
  </w:style>
  <w:style w:type="paragraph" w:customStyle="1" w:styleId="Time">
    <w:name w:val="Time"/>
    <w:basedOn w:val="Normal"/>
    <w:qFormat/>
    <w:rsid w:val="009B3752"/>
    <w:pPr>
      <w:spacing w:before="240"/>
    </w:pPr>
    <w:rPr>
      <w:rFonts w:asciiTheme="majorHAnsi" w:hAnsiTheme="majorHAnsi"/>
      <w:sz w:val="24"/>
      <w:szCs w:val="24"/>
    </w:rPr>
  </w:style>
  <w:style w:type="paragraph" w:customStyle="1" w:styleId="ItalParagraph">
    <w:name w:val="Ital Paragraph"/>
    <w:basedOn w:val="Normal"/>
    <w:qFormat/>
    <w:rsid w:val="008868BB"/>
    <w:pPr>
      <w:spacing w:before="240"/>
    </w:pPr>
    <w:rPr>
      <w:i/>
    </w:rPr>
  </w:style>
  <w:style w:type="character" w:styleId="Hyperlink">
    <w:name w:val="Hyperlink"/>
    <w:basedOn w:val="DefaultParagraphFont"/>
    <w:uiPriority w:val="99"/>
    <w:unhideWhenUsed/>
    <w:rsid w:val="004D395E"/>
    <w:rPr>
      <w:color w:val="0000FF" w:themeColor="hyperlink"/>
      <w:u w:val="single"/>
    </w:rPr>
  </w:style>
  <w:style w:type="table" w:customStyle="1" w:styleId="LightShading1">
    <w:name w:val="Light Shading1"/>
    <w:basedOn w:val="TableNormal"/>
    <w:uiPriority w:val="60"/>
    <w:rsid w:val="004D395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eminarAnnouncement">
    <w:name w:val="Seminar Announcement"/>
    <w:basedOn w:val="Normal"/>
    <w:link w:val="SeminarAnnouncementChar"/>
    <w:qFormat/>
    <w:rsid w:val="00FA5377"/>
    <w:pPr>
      <w:jc w:val="center"/>
    </w:pPr>
    <w:rPr>
      <w:rFonts w:ascii="Tekton Pro Ext" w:hAnsi="Tekton Pro Ext"/>
      <w:b/>
      <w:color w:val="808080" w:themeColor="background1" w:themeShade="80"/>
    </w:rPr>
  </w:style>
  <w:style w:type="paragraph" w:customStyle="1" w:styleId="CourseName">
    <w:name w:val="Course Name"/>
    <w:basedOn w:val="Normal"/>
    <w:link w:val="CourseNameChar"/>
    <w:qFormat/>
    <w:rsid w:val="00C74C2D"/>
    <w:pPr>
      <w:jc w:val="center"/>
    </w:pPr>
    <w:rPr>
      <w:b/>
    </w:rPr>
  </w:style>
  <w:style w:type="character" w:customStyle="1" w:styleId="SeminarAnnouncementChar">
    <w:name w:val="Seminar Announcement Char"/>
    <w:basedOn w:val="DefaultParagraphFont"/>
    <w:link w:val="SeminarAnnouncement"/>
    <w:rsid w:val="00FA5377"/>
    <w:rPr>
      <w:rFonts w:ascii="Tekton Pro Ext" w:hAnsi="Tekton Pro Ext"/>
      <w:b/>
      <w:color w:val="808080" w:themeColor="background1" w:themeShade="80"/>
    </w:rPr>
  </w:style>
  <w:style w:type="paragraph" w:customStyle="1" w:styleId="LeftColumn">
    <w:name w:val="Left Column"/>
    <w:basedOn w:val="Normal"/>
    <w:link w:val="LeftColumnChar"/>
    <w:qFormat/>
    <w:rsid w:val="006013C2"/>
    <w:pPr>
      <w:shd w:val="clear" w:color="auto" w:fill="FFFFFF" w:themeFill="background1"/>
    </w:pPr>
    <w:rPr>
      <w:rFonts w:ascii="Tekton Pro Ext" w:hAnsi="Tekton Pro Ext"/>
      <w:b/>
      <w:color w:val="808080" w:themeColor="background1" w:themeShade="80"/>
    </w:rPr>
  </w:style>
  <w:style w:type="character" w:customStyle="1" w:styleId="CourseNameChar">
    <w:name w:val="Course Name Char"/>
    <w:basedOn w:val="DefaultParagraphFont"/>
    <w:link w:val="CourseName"/>
    <w:rsid w:val="00C74C2D"/>
    <w:rPr>
      <w:b/>
    </w:rPr>
  </w:style>
  <w:style w:type="character" w:customStyle="1" w:styleId="LeftColumnChar">
    <w:name w:val="Left Column Char"/>
    <w:basedOn w:val="DefaultParagraphFont"/>
    <w:link w:val="LeftColumn"/>
    <w:rsid w:val="006013C2"/>
    <w:rPr>
      <w:rFonts w:ascii="Tekton Pro Ext" w:hAnsi="Tekton Pro Ext"/>
      <w:b/>
      <w:color w:val="808080" w:themeColor="background1" w:themeShade="80"/>
      <w:shd w:val="clear" w:color="auto" w:fill="FFFFFF" w:themeFill="background1"/>
    </w:rPr>
  </w:style>
  <w:style w:type="paragraph" w:styleId="Header">
    <w:name w:val="header"/>
    <w:basedOn w:val="Normal"/>
    <w:link w:val="HeaderChar"/>
    <w:uiPriority w:val="99"/>
    <w:unhideWhenUsed/>
    <w:rsid w:val="00E611DD"/>
    <w:pPr>
      <w:tabs>
        <w:tab w:val="center" w:pos="4680"/>
        <w:tab w:val="right" w:pos="9360"/>
      </w:tabs>
    </w:pPr>
  </w:style>
  <w:style w:type="character" w:customStyle="1" w:styleId="HeaderChar">
    <w:name w:val="Header Char"/>
    <w:basedOn w:val="DefaultParagraphFont"/>
    <w:link w:val="Header"/>
    <w:uiPriority w:val="99"/>
    <w:rsid w:val="00E611DD"/>
  </w:style>
  <w:style w:type="paragraph" w:styleId="Footer">
    <w:name w:val="footer"/>
    <w:basedOn w:val="Normal"/>
    <w:link w:val="FooterChar"/>
    <w:uiPriority w:val="99"/>
    <w:unhideWhenUsed/>
    <w:rsid w:val="00E611DD"/>
    <w:pPr>
      <w:tabs>
        <w:tab w:val="center" w:pos="4680"/>
        <w:tab w:val="right" w:pos="9360"/>
      </w:tabs>
    </w:pPr>
  </w:style>
  <w:style w:type="character" w:customStyle="1" w:styleId="FooterChar">
    <w:name w:val="Footer Char"/>
    <w:basedOn w:val="DefaultParagraphFont"/>
    <w:link w:val="Footer"/>
    <w:uiPriority w:val="99"/>
    <w:rsid w:val="00E611DD"/>
  </w:style>
  <w:style w:type="paragraph" w:customStyle="1" w:styleId="StyleBulleted">
    <w:name w:val="Style Bulleted"/>
    <w:basedOn w:val="Normal"/>
    <w:rsid w:val="000218C4"/>
    <w:pPr>
      <w:numPr>
        <w:numId w:val="1"/>
      </w:numPr>
    </w:pPr>
    <w:rPr>
      <w:rFonts w:ascii="Times New Roman" w:eastAsia="Times New Roman" w:hAnsi="Times New Roman" w:cs="Times New Roman"/>
      <w:sz w:val="24"/>
      <w:szCs w:val="20"/>
    </w:rPr>
  </w:style>
  <w:style w:type="paragraph" w:styleId="DocumentMap">
    <w:name w:val="Document Map"/>
    <w:basedOn w:val="Normal"/>
    <w:link w:val="DocumentMapChar"/>
    <w:uiPriority w:val="99"/>
    <w:semiHidden/>
    <w:unhideWhenUsed/>
    <w:rsid w:val="00FE2233"/>
    <w:rPr>
      <w:rFonts w:ascii="Tahoma" w:hAnsi="Tahoma" w:cs="Tahoma"/>
      <w:sz w:val="16"/>
      <w:szCs w:val="16"/>
    </w:rPr>
  </w:style>
  <w:style w:type="character" w:customStyle="1" w:styleId="DocumentMapChar">
    <w:name w:val="Document Map Char"/>
    <w:basedOn w:val="DefaultParagraphFont"/>
    <w:link w:val="DocumentMap"/>
    <w:uiPriority w:val="99"/>
    <w:semiHidden/>
    <w:rsid w:val="00FE2233"/>
    <w:rPr>
      <w:rFonts w:ascii="Tahoma" w:hAnsi="Tahoma" w:cs="Tahoma"/>
      <w:sz w:val="16"/>
      <w:szCs w:val="16"/>
    </w:rPr>
  </w:style>
  <w:style w:type="paragraph" w:customStyle="1" w:styleId="address">
    <w:name w:val="address"/>
    <w:basedOn w:val="Normal"/>
    <w:rsid w:val="00120843"/>
    <w:pPr>
      <w:ind w:left="240" w:hanging="240"/>
    </w:pPr>
    <w:rPr>
      <w:rFonts w:ascii="Times New Roman" w:eastAsia="Times New Roman" w:hAnsi="Times New Roman" w:cs="Times New Roman"/>
      <w:sz w:val="19"/>
      <w:szCs w:val="19"/>
    </w:rPr>
  </w:style>
  <w:style w:type="paragraph" w:styleId="NormalWeb">
    <w:name w:val="Normal (Web)"/>
    <w:basedOn w:val="Normal"/>
    <w:uiPriority w:val="99"/>
    <w:unhideWhenUsed/>
    <w:rsid w:val="007F37D1"/>
    <w:pPr>
      <w:spacing w:before="100" w:beforeAutospacing="1" w:after="100" w:afterAutospacing="1"/>
    </w:pPr>
    <w:rPr>
      <w:rFonts w:ascii="Times New Roman" w:hAnsi="Times New Roman" w:cs="Times New Roman"/>
      <w:sz w:val="24"/>
      <w:szCs w:val="24"/>
    </w:rPr>
  </w:style>
  <w:style w:type="character" w:customStyle="1" w:styleId="adtsubhead1">
    <w:name w:val="adtsubhead1"/>
    <w:basedOn w:val="DefaultParagraphFont"/>
    <w:rsid w:val="001F0EC4"/>
    <w:rPr>
      <w:rFonts w:ascii="Arial" w:hAnsi="Arial" w:cs="Arial" w:hint="default"/>
      <w:b/>
      <w:bCs/>
      <w:caps/>
      <w:color w:val="003366"/>
      <w:sz w:val="17"/>
      <w:szCs w:val="17"/>
    </w:rPr>
  </w:style>
  <w:style w:type="character" w:customStyle="1" w:styleId="section-info-text">
    <w:name w:val="section-info-text"/>
    <w:basedOn w:val="DefaultParagraphFont"/>
    <w:rsid w:val="00BD3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69442">
      <w:bodyDiv w:val="1"/>
      <w:marLeft w:val="0"/>
      <w:marRight w:val="0"/>
      <w:marTop w:val="0"/>
      <w:marBottom w:val="0"/>
      <w:divBdr>
        <w:top w:val="none" w:sz="0" w:space="0" w:color="auto"/>
        <w:left w:val="none" w:sz="0" w:space="0" w:color="auto"/>
        <w:bottom w:val="none" w:sz="0" w:space="0" w:color="auto"/>
        <w:right w:val="none" w:sz="0" w:space="0" w:color="auto"/>
      </w:divBdr>
    </w:div>
    <w:div w:id="495195518">
      <w:bodyDiv w:val="1"/>
      <w:marLeft w:val="0"/>
      <w:marRight w:val="0"/>
      <w:marTop w:val="0"/>
      <w:marBottom w:val="0"/>
      <w:divBdr>
        <w:top w:val="none" w:sz="0" w:space="0" w:color="auto"/>
        <w:left w:val="none" w:sz="0" w:space="0" w:color="auto"/>
        <w:bottom w:val="none" w:sz="0" w:space="0" w:color="auto"/>
        <w:right w:val="none" w:sz="0" w:space="0" w:color="auto"/>
      </w:divBdr>
    </w:div>
    <w:div w:id="571895853">
      <w:bodyDiv w:val="1"/>
      <w:marLeft w:val="0"/>
      <w:marRight w:val="0"/>
      <w:marTop w:val="0"/>
      <w:marBottom w:val="0"/>
      <w:divBdr>
        <w:top w:val="none" w:sz="0" w:space="0" w:color="auto"/>
        <w:left w:val="none" w:sz="0" w:space="0" w:color="auto"/>
        <w:bottom w:val="none" w:sz="0" w:space="0" w:color="auto"/>
        <w:right w:val="none" w:sz="0" w:space="0" w:color="auto"/>
      </w:divBdr>
    </w:div>
    <w:div w:id="850493316">
      <w:bodyDiv w:val="1"/>
      <w:marLeft w:val="0"/>
      <w:marRight w:val="0"/>
      <w:marTop w:val="0"/>
      <w:marBottom w:val="0"/>
      <w:divBdr>
        <w:top w:val="none" w:sz="0" w:space="0" w:color="auto"/>
        <w:left w:val="none" w:sz="0" w:space="0" w:color="auto"/>
        <w:bottom w:val="none" w:sz="0" w:space="0" w:color="auto"/>
        <w:right w:val="none" w:sz="0" w:space="0" w:color="auto"/>
      </w:divBdr>
    </w:div>
    <w:div w:id="934872115">
      <w:bodyDiv w:val="1"/>
      <w:marLeft w:val="0"/>
      <w:marRight w:val="0"/>
      <w:marTop w:val="0"/>
      <w:marBottom w:val="0"/>
      <w:divBdr>
        <w:top w:val="none" w:sz="0" w:space="0" w:color="auto"/>
        <w:left w:val="none" w:sz="0" w:space="0" w:color="auto"/>
        <w:bottom w:val="none" w:sz="0" w:space="0" w:color="auto"/>
        <w:right w:val="none" w:sz="0" w:space="0" w:color="auto"/>
      </w:divBdr>
      <w:divsChild>
        <w:div w:id="1747724145">
          <w:marLeft w:val="0"/>
          <w:marRight w:val="0"/>
          <w:marTop w:val="0"/>
          <w:marBottom w:val="0"/>
          <w:divBdr>
            <w:top w:val="none" w:sz="0" w:space="0" w:color="auto"/>
            <w:left w:val="none" w:sz="0" w:space="0" w:color="auto"/>
            <w:bottom w:val="none" w:sz="0" w:space="0" w:color="auto"/>
            <w:right w:val="none" w:sz="0" w:space="0" w:color="auto"/>
          </w:divBdr>
          <w:divsChild>
            <w:div w:id="40110245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943271331">
      <w:bodyDiv w:val="1"/>
      <w:marLeft w:val="0"/>
      <w:marRight w:val="0"/>
      <w:marTop w:val="0"/>
      <w:marBottom w:val="0"/>
      <w:divBdr>
        <w:top w:val="none" w:sz="0" w:space="0" w:color="auto"/>
        <w:left w:val="none" w:sz="0" w:space="0" w:color="auto"/>
        <w:bottom w:val="none" w:sz="0" w:space="0" w:color="auto"/>
        <w:right w:val="none" w:sz="0" w:space="0" w:color="auto"/>
      </w:divBdr>
    </w:div>
    <w:div w:id="1027369914">
      <w:bodyDiv w:val="1"/>
      <w:marLeft w:val="0"/>
      <w:marRight w:val="0"/>
      <w:marTop w:val="0"/>
      <w:marBottom w:val="0"/>
      <w:divBdr>
        <w:top w:val="none" w:sz="0" w:space="0" w:color="auto"/>
        <w:left w:val="none" w:sz="0" w:space="0" w:color="auto"/>
        <w:bottom w:val="none" w:sz="0" w:space="0" w:color="auto"/>
        <w:right w:val="none" w:sz="0" w:space="0" w:color="auto"/>
      </w:divBdr>
    </w:div>
    <w:div w:id="1231113954">
      <w:bodyDiv w:val="1"/>
      <w:marLeft w:val="0"/>
      <w:marRight w:val="0"/>
      <w:marTop w:val="0"/>
      <w:marBottom w:val="0"/>
      <w:divBdr>
        <w:top w:val="none" w:sz="0" w:space="0" w:color="auto"/>
        <w:left w:val="none" w:sz="0" w:space="0" w:color="auto"/>
        <w:bottom w:val="none" w:sz="0" w:space="0" w:color="auto"/>
        <w:right w:val="none" w:sz="0" w:space="0" w:color="auto"/>
      </w:divBdr>
    </w:div>
    <w:div w:id="1377899646">
      <w:bodyDiv w:val="1"/>
      <w:marLeft w:val="0"/>
      <w:marRight w:val="0"/>
      <w:marTop w:val="0"/>
      <w:marBottom w:val="0"/>
      <w:divBdr>
        <w:top w:val="none" w:sz="0" w:space="0" w:color="auto"/>
        <w:left w:val="none" w:sz="0" w:space="0" w:color="auto"/>
        <w:bottom w:val="none" w:sz="0" w:space="0" w:color="auto"/>
        <w:right w:val="none" w:sz="0" w:space="0" w:color="auto"/>
      </w:divBdr>
    </w:div>
    <w:div w:id="1597594513">
      <w:bodyDiv w:val="1"/>
      <w:marLeft w:val="0"/>
      <w:marRight w:val="0"/>
      <w:marTop w:val="0"/>
      <w:marBottom w:val="0"/>
      <w:divBdr>
        <w:top w:val="none" w:sz="0" w:space="0" w:color="auto"/>
        <w:left w:val="none" w:sz="0" w:space="0" w:color="auto"/>
        <w:bottom w:val="none" w:sz="0" w:space="0" w:color="auto"/>
        <w:right w:val="none" w:sz="0" w:space="0" w:color="auto"/>
      </w:divBdr>
    </w:div>
    <w:div w:id="19341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ig.newell2@usdoj.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raig.newell2@usdo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7EACA-160A-4C9F-A72B-5403F693C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3065</Characters>
  <Application>Microsoft Office Word</Application>
  <DocSecurity>0</DocSecurity>
  <Lines>139</Lines>
  <Paragraphs>145</Paragraphs>
  <ScaleCrop>false</ScaleCrop>
  <HeadingPairs>
    <vt:vector size="2" baseType="variant">
      <vt:variant>
        <vt:lpstr>Title</vt:lpstr>
      </vt:variant>
      <vt:variant>
        <vt:i4>1</vt:i4>
      </vt:variant>
    </vt:vector>
  </HeadingPairs>
  <TitlesOfParts>
    <vt:vector size="1" baseType="lpstr">
      <vt:lpstr/>
    </vt:vector>
  </TitlesOfParts>
  <Company>CRM</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alsyring</dc:creator>
  <cp:keywords/>
  <dc:description/>
  <cp:lastModifiedBy>Torres, Sarah LeNell</cp:lastModifiedBy>
  <cp:revision>2</cp:revision>
  <cp:lastPrinted>2017-02-24T17:02:00Z</cp:lastPrinted>
  <dcterms:created xsi:type="dcterms:W3CDTF">2024-04-17T21:11:00Z</dcterms:created>
  <dcterms:modified xsi:type="dcterms:W3CDTF">2024-04-17T21:11:00Z</dcterms:modified>
</cp:coreProperties>
</file>